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1120909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2327E01F" w:rsidR="003726A5" w:rsidRPr="001C0B42" w:rsidRDefault="001D3041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CIX </w:t>
      </w:r>
      <w:r w:rsidR="003726A5"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773C95D5" w:rsidR="003726A5" w:rsidRPr="001D3041" w:rsidRDefault="001D3041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28.01.2026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06C098BB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D30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109-3/VIII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748C544B" w14:textId="77777777" w:rsidR="00632814" w:rsidRDefault="00632814" w:rsidP="006B169C">
      <w:pPr>
        <w:rPr>
          <w:rFonts w:ascii="Times New Roman" w:hAnsi="Times New Roman" w:cs="Times New Roman"/>
          <w:sz w:val="28"/>
          <w:szCs w:val="28"/>
        </w:rPr>
      </w:pPr>
    </w:p>
    <w:p w14:paraId="6DD7BB3A" w14:textId="39C9248F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836A17A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32DD6D1C" w14:textId="77777777" w:rsidR="006B169C" w:rsidRPr="006B169C" w:rsidRDefault="006B169C" w:rsidP="006B169C">
      <w:pPr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>від 26.06.2024 № 82-15/VIII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1405C24" w14:textId="77777777" w:rsidR="006B169C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005F5" w14:textId="06E5D280" w:rsidR="00305114" w:rsidRDefault="006B169C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9C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п. 16 ч. 1 ст. 91 Бюджетного кодексу України від 08.07.2010 № 2456-VI, ч. 2 </w:t>
      </w:r>
      <w:r w:rsidRPr="006B169C">
        <w:rPr>
          <w:rFonts w:ascii="Times New Roman" w:hAnsi="Times New Roman" w:cs="Times New Roman"/>
          <w:bCs/>
          <w:sz w:val="28"/>
          <w:szCs w:val="28"/>
        </w:rPr>
        <w:t>ст. 19, ст.</w:t>
      </w:r>
      <w:r w:rsidR="006E215A">
        <w:rPr>
          <w:rFonts w:ascii="Times New Roman" w:hAnsi="Times New Roman" w:cs="Times New Roman"/>
          <w:bCs/>
          <w:sz w:val="28"/>
          <w:szCs w:val="28"/>
        </w:rPr>
        <w:t> </w:t>
      </w:r>
      <w:r w:rsidRPr="006B169C">
        <w:rPr>
          <w:rFonts w:ascii="Times New Roman" w:hAnsi="Times New Roman" w:cs="Times New Roman"/>
          <w:bCs/>
          <w:sz w:val="28"/>
          <w:szCs w:val="28"/>
        </w:rPr>
        <w:t>98</w:t>
      </w:r>
      <w:r w:rsidRPr="006B169C">
        <w:rPr>
          <w:rFonts w:ascii="Times New Roman" w:hAnsi="Times New Roman" w:cs="Times New Roman"/>
          <w:sz w:val="28"/>
          <w:szCs w:val="28"/>
        </w:rPr>
        <w:t xml:space="preserve"> Кодексу цивільного захисту України </w:t>
      </w:r>
      <w:r w:rsidRPr="006B169C">
        <w:rPr>
          <w:rFonts w:ascii="Times New Roman" w:hAnsi="Times New Roman" w:cs="Times New Roman"/>
          <w:bCs/>
          <w:sz w:val="28"/>
          <w:szCs w:val="28"/>
        </w:rPr>
        <w:t>від 02.10.2012 № 5403-VI</w:t>
      </w:r>
      <w:r w:rsidRPr="006B169C">
        <w:rPr>
          <w:rFonts w:ascii="Times New Roman" w:hAnsi="Times New Roman" w:cs="Times New Roman"/>
          <w:sz w:val="28"/>
          <w:szCs w:val="28"/>
        </w:rPr>
        <w:t>, ч. 3 ст. 7 Закону України від 21.10.1993 № 3543-ХІІ «Про мобілізаційну підготовку та мобілізацію»</w:t>
      </w:r>
      <w:r w:rsidRPr="006B169C">
        <w:rPr>
          <w:rFonts w:ascii="Times New Roman" w:hAnsi="Times New Roman" w:cs="Times New Roman"/>
          <w:bCs/>
          <w:sz w:val="28"/>
          <w:szCs w:val="28"/>
        </w:rPr>
        <w:t>,</w:t>
      </w:r>
      <w:r w:rsidRPr="006B169C">
        <w:rPr>
          <w:rFonts w:ascii="Times New Roman" w:hAnsi="Times New Roman" w:cs="Times New Roman"/>
          <w:sz w:val="28"/>
          <w:szCs w:val="28"/>
        </w:rPr>
        <w:t xml:space="preserve"> ст. 3 </w:t>
      </w:r>
      <w:r w:rsidRPr="006B169C">
        <w:rPr>
          <w:rFonts w:ascii="Times New Roman" w:hAnsi="Times New Roman" w:cs="Times New Roman"/>
          <w:bCs/>
          <w:sz w:val="28"/>
          <w:szCs w:val="28"/>
        </w:rPr>
        <w:t xml:space="preserve">Закону України від 06.12.1991 № 1932-ХІІ «Про оборону України», </w:t>
      </w:r>
      <w:r w:rsidRPr="006B169C">
        <w:rPr>
          <w:rFonts w:ascii="Times New Roman" w:hAnsi="Times New Roman" w:cs="Times New Roman"/>
          <w:sz w:val="28"/>
          <w:szCs w:val="28"/>
        </w:rPr>
        <w:t>п. 4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30.09.2015 № 775</w:t>
      </w:r>
      <w:r w:rsidR="00487C07" w:rsidRPr="007C3142">
        <w:rPr>
          <w:rFonts w:ascii="Times New Roman" w:hAnsi="Times New Roman" w:cs="Times New Roman"/>
          <w:bCs/>
          <w:sz w:val="28"/>
          <w:szCs w:val="28"/>
        </w:rPr>
        <w:t>,</w:t>
      </w:r>
      <w:r w:rsidR="00487C07" w:rsidRPr="007C3142">
        <w:rPr>
          <w:rFonts w:ascii="Times New Roman" w:hAnsi="Times New Roman" w:cs="Times New Roman"/>
          <w:sz w:val="28"/>
          <w:szCs w:val="28"/>
        </w:rPr>
        <w:t xml:space="preserve"> </w:t>
      </w:r>
      <w:r w:rsidR="00693C26" w:rsidRPr="00693C26">
        <w:rPr>
          <w:rFonts w:ascii="Times New Roman" w:hAnsi="Times New Roman" w:cs="Times New Roman"/>
          <w:sz w:val="28"/>
          <w:szCs w:val="28"/>
        </w:rPr>
        <w:t>з метою приведення заходів Програми у відповідність до потреб у сфері цивільного захисту, попередження та ліквідації надзвичайних ситуацій природного і техногенного характеру</w:t>
      </w:r>
      <w:r w:rsidR="00297A7A">
        <w:rPr>
          <w:rFonts w:ascii="Times New Roman" w:hAnsi="Times New Roman" w:cs="Times New Roman"/>
          <w:sz w:val="28"/>
          <w:szCs w:val="28"/>
        </w:rPr>
        <w:t xml:space="preserve">, </w:t>
      </w:r>
      <w:r w:rsidR="00305114" w:rsidRPr="0030511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F16562F" w14:textId="7D0C6761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6B750C91" w14:textId="77777777" w:rsidR="00AB2EA1" w:rsidRDefault="00AB2EA1" w:rsidP="00417FC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AB7F7" w14:textId="6F24A258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рішення міської ради від 26.06.2024 № 82-15/VIII «Про затвердження Комплексної програми розвитку цивільного захисту на території Смілянської міської територіальної громади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18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.06.2025 № 99-</w:t>
      </w:r>
      <w:r w:rsidR="007C31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50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«</w:t>
      </w:r>
      <w:r w:rsidR="007C3142"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Напрями діяльності та заходи Комплексної програми розвитку цивільного захисту на території Смілянської міської територіальної громади на 2025-2030 роки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58E021DE" w14:textId="77777777" w:rsidR="00AB2EA1" w:rsidRDefault="00AB2EA1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A6A7EC" w14:textId="04700799" w:rsidR="00AF59DD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lastRenderedPageBreak/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1EAAF583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5E1385" w:rsidRPr="005E138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</w:t>
      </w:r>
      <w:r w:rsidR="005E1385" w:rsidRPr="005E1385">
        <w:rPr>
          <w:rFonts w:ascii="Times New Roman" w:hAnsi="Times New Roman" w:cs="Times New Roman"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2939823" w14:textId="77777777" w:rsidR="005E1385" w:rsidRPr="00417FC5" w:rsidRDefault="005E1385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132E3A90" w:rsidR="008A5720" w:rsidRDefault="001D0809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03ADE767" w14:textId="77777777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F01DB2" w14:textId="4E9518F6" w:rsidR="00767266" w:rsidRDefault="00767266" w:rsidP="00767266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326F686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CFFE5C3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24B5092" w14:textId="77777777" w:rsidR="00AB2EA1" w:rsidRDefault="00AB2EA1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01C4A52F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33DCC7DD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9C4A9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Постійна комісія міської ради з питань</w:t>
      </w:r>
    </w:p>
    <w:p w14:paraId="4CDA594A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місцевого самоврядування, депутатської</w:t>
      </w:r>
    </w:p>
    <w:p w14:paraId="6FA05A2D" w14:textId="77777777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діяльності, законності, запобігання</w:t>
      </w:r>
    </w:p>
    <w:p w14:paraId="75B05892" w14:textId="7DCC74D0" w:rsidR="007C3142" w:rsidRPr="007C3142" w:rsidRDefault="007C3142" w:rsidP="007C314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корупції, надзвичайних ситуацій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Pr="007C314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Марина ФЕДОРЕНКО</w:t>
      </w:r>
    </w:p>
    <w:p w14:paraId="0963D7C8" w14:textId="77777777" w:rsidR="007C3142" w:rsidRPr="001D0809" w:rsidRDefault="007C3142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37EC42D3" w:rsidR="001D0809" w:rsidRPr="001D0809" w:rsidRDefault="001D0809" w:rsidP="001C3AA2">
      <w:pPr>
        <w:widowControl/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6BF7CB26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1F6D8A1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7C314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 xml:space="preserve">   </w:t>
      </w:r>
      <w:r w:rsidR="00653CE6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6275F24C" w:rsidR="004E2534" w:rsidRPr="001C0B42" w:rsidRDefault="001D0809" w:rsidP="001C3AA2">
      <w:pPr>
        <w:suppressAutoHyphens/>
        <w:ind w:right="-1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7C3142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6AE2C202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1D3041">
        <w:rPr>
          <w:rFonts w:ascii="Times New Roman" w:hAnsi="Times New Roman" w:cs="Times New Roman"/>
          <w:sz w:val="28"/>
          <w:szCs w:val="28"/>
          <w:lang w:val="en-US"/>
        </w:rPr>
        <w:t xml:space="preserve">28.01.2026 </w:t>
      </w:r>
      <w:r w:rsidRPr="008A5720">
        <w:rPr>
          <w:rFonts w:ascii="Times New Roman" w:hAnsi="Times New Roman" w:cs="Times New Roman"/>
          <w:sz w:val="28"/>
          <w:szCs w:val="28"/>
        </w:rPr>
        <w:t xml:space="preserve">№ </w:t>
      </w:r>
      <w:r w:rsidR="001D3041">
        <w:rPr>
          <w:rFonts w:ascii="Times New Roman" w:hAnsi="Times New Roman" w:cs="Times New Roman"/>
          <w:sz w:val="28"/>
          <w:szCs w:val="28"/>
          <w:lang w:val="en-US"/>
        </w:rPr>
        <w:t>109-3/VIII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25807DB" w14:textId="77777777" w:rsidR="007C3142" w:rsidRPr="007C3142" w:rsidRDefault="007C3142" w:rsidP="007C314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7C3142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06321369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>Комплексної п</w:t>
      </w: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рограми розвитку цивільного захисту </w:t>
      </w:r>
      <w:r w:rsidRPr="007C3142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7C314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4A1F5520" w14:textId="77777777" w:rsidR="007C3142" w:rsidRPr="007C3142" w:rsidRDefault="007C3142" w:rsidP="007C314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7C314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2025-2030 роки</w:t>
      </w: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59"/>
        <w:gridCol w:w="1843"/>
        <w:gridCol w:w="2580"/>
      </w:tblGrid>
      <w:tr w:rsidR="007C3142" w:rsidRPr="007C3142" w14:paraId="101E1443" w14:textId="77777777" w:rsidTr="00F81F91">
        <w:trPr>
          <w:trHeight w:val="878"/>
        </w:trPr>
        <w:tc>
          <w:tcPr>
            <w:tcW w:w="533" w:type="dxa"/>
            <w:vMerge w:val="restart"/>
            <w:vAlign w:val="center"/>
          </w:tcPr>
          <w:p w14:paraId="2F117D0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 з/п</w:t>
            </w:r>
          </w:p>
        </w:tc>
        <w:tc>
          <w:tcPr>
            <w:tcW w:w="1877" w:type="dxa"/>
            <w:vMerge w:val="restart"/>
            <w:vAlign w:val="center"/>
          </w:tcPr>
          <w:p w14:paraId="4CF5C9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5103" w:type="dxa"/>
            <w:vMerge w:val="restart"/>
            <w:vAlign w:val="center"/>
          </w:tcPr>
          <w:p w14:paraId="0C33FBE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14:paraId="415368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37E23D5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D58CDD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52DD554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7C3142" w:rsidRPr="007C3142" w14:paraId="54B42126" w14:textId="77777777" w:rsidTr="00F81F91">
        <w:trPr>
          <w:trHeight w:val="337"/>
        </w:trPr>
        <w:tc>
          <w:tcPr>
            <w:tcW w:w="533" w:type="dxa"/>
            <w:vMerge/>
            <w:vAlign w:val="center"/>
          </w:tcPr>
          <w:p w14:paraId="6CFC050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1B5A1B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Merge/>
            <w:vAlign w:val="center"/>
          </w:tcPr>
          <w:p w14:paraId="6ACC10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19BE54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  <w:vAlign w:val="center"/>
          </w:tcPr>
          <w:p w14:paraId="44B7781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4D86AC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429B23A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5E821AF" w14:textId="77777777" w:rsidTr="00F81F91">
        <w:trPr>
          <w:trHeight w:val="1327"/>
        </w:trPr>
        <w:tc>
          <w:tcPr>
            <w:tcW w:w="533" w:type="dxa"/>
            <w:vMerge w:val="restart"/>
          </w:tcPr>
          <w:p w14:paraId="1D689A5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bookmarkStart w:id="1" w:name="_Hlk199862660"/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</w:t>
            </w:r>
          </w:p>
        </w:tc>
        <w:tc>
          <w:tcPr>
            <w:tcW w:w="1877" w:type="dxa"/>
            <w:vMerge w:val="restart"/>
          </w:tcPr>
          <w:p w14:paraId="50F555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Розвиток та модернізація місцевої системи оповіщення</w:t>
            </w:r>
          </w:p>
        </w:tc>
        <w:tc>
          <w:tcPr>
            <w:tcW w:w="5103" w:type="dxa"/>
            <w:vAlign w:val="center"/>
          </w:tcPr>
          <w:p w14:paraId="6ECE459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1.1. Придбання технічних засобів та обладнання, виконання робіт по монтажу і налагодженню міської системи оповіщення, придбання засобів оповіщення для забезпечення місць масового скупчення (перебування) людей</w:t>
            </w:r>
          </w:p>
        </w:tc>
        <w:tc>
          <w:tcPr>
            <w:tcW w:w="1418" w:type="dxa"/>
            <w:vMerge w:val="restart"/>
            <w:vAlign w:val="center"/>
          </w:tcPr>
          <w:p w14:paraId="7A51BEA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59" w:type="dxa"/>
            <w:vMerge w:val="restart"/>
            <w:vAlign w:val="center"/>
          </w:tcPr>
          <w:p w14:paraId="2D0CCB7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5EE74FC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  <w:vMerge w:val="restart"/>
          </w:tcPr>
          <w:p w14:paraId="6AEB74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Підтримання системи оповіщення цивільного захисту у стані готовності до використання за призначенням</w:t>
            </w:r>
          </w:p>
        </w:tc>
      </w:tr>
      <w:bookmarkEnd w:id="1"/>
      <w:tr w:rsidR="007C3142" w:rsidRPr="007C3142" w14:paraId="2C519AE2" w14:textId="77777777" w:rsidTr="00F81F91">
        <w:trPr>
          <w:trHeight w:val="2368"/>
        </w:trPr>
        <w:tc>
          <w:tcPr>
            <w:tcW w:w="533" w:type="dxa"/>
            <w:vMerge/>
          </w:tcPr>
          <w:p w14:paraId="156114C3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48663CA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1532AFC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1.2. Розвиток (створення, удосконалення) міської системи оповіщення у разі виникнення надзвичайних ситуацій, в т.ч.:</w:t>
            </w:r>
          </w:p>
          <w:p w14:paraId="548D896E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розробка проєктно-кошторисної документації (ПКД);</w:t>
            </w:r>
          </w:p>
          <w:p w14:paraId="54DE26A3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придбання технічних засобів оповіщення та комплектуючих деталей та компонентів до них;</w:t>
            </w:r>
          </w:p>
          <w:p w14:paraId="697D27B5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 виконання монтажних пуско-налагоджувальних робіт, проведення експертизи ПКД та ін.</w:t>
            </w:r>
          </w:p>
        </w:tc>
        <w:tc>
          <w:tcPr>
            <w:tcW w:w="1418" w:type="dxa"/>
            <w:vMerge/>
          </w:tcPr>
          <w:p w14:paraId="01694B8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3F8469A4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55D5975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7E1CA77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415A10DE" w14:textId="77777777" w:rsidTr="00F81F91">
        <w:trPr>
          <w:trHeight w:val="703"/>
        </w:trPr>
        <w:tc>
          <w:tcPr>
            <w:tcW w:w="533" w:type="dxa"/>
            <w:vMerge/>
          </w:tcPr>
          <w:p w14:paraId="51AFA658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  <w:vAlign w:val="center"/>
          </w:tcPr>
          <w:p w14:paraId="5A8D5A6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7BD30D57" w14:textId="77777777" w:rsidR="007C3142" w:rsidRPr="007C3142" w:rsidRDefault="007C3142" w:rsidP="007C3142">
            <w:pPr>
              <w:suppressAutoHyphens/>
              <w:ind w:left="33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1.3. Оплата послуг мобільного телефонного зв’язку, який використовується для забезпечення роботи міської системи оповіщення</w:t>
            </w:r>
          </w:p>
        </w:tc>
        <w:tc>
          <w:tcPr>
            <w:tcW w:w="1418" w:type="dxa"/>
            <w:vMerge/>
          </w:tcPr>
          <w:p w14:paraId="6AB3CB9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59" w:type="dxa"/>
            <w:vMerge/>
          </w:tcPr>
          <w:p w14:paraId="0E95A1B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1D6AB99C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</w:tcPr>
          <w:p w14:paraId="225F695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184F1E77" w14:textId="77777777" w:rsidR="00750568" w:rsidRDefault="00750568"/>
    <w:p w14:paraId="19C5164E" w14:textId="77777777" w:rsidR="007565E8" w:rsidRDefault="007565E8" w:rsidP="00750568">
      <w:pPr>
        <w:ind w:left="12036"/>
        <w:rPr>
          <w:rFonts w:ascii="Times New Roman" w:hAnsi="Times New Roman" w:cs="Times New Roman"/>
        </w:rPr>
      </w:pPr>
    </w:p>
    <w:p w14:paraId="5B0E505C" w14:textId="1213B9A1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12F2AD8" w14:textId="4F2DCD2F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284D09F3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551"/>
      </w:tblGrid>
      <w:tr w:rsidR="007C3142" w:rsidRPr="007C3142" w14:paraId="184A8EAD" w14:textId="77777777" w:rsidTr="00F81F91">
        <w:trPr>
          <w:cantSplit/>
          <w:trHeight w:val="1134"/>
        </w:trPr>
        <w:tc>
          <w:tcPr>
            <w:tcW w:w="533" w:type="dxa"/>
          </w:tcPr>
          <w:p w14:paraId="3745E6B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</w:t>
            </w:r>
          </w:p>
        </w:tc>
        <w:tc>
          <w:tcPr>
            <w:tcW w:w="1877" w:type="dxa"/>
            <w:vAlign w:val="center"/>
          </w:tcPr>
          <w:p w14:paraId="0FB01089" w14:textId="6CE10A20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Проведення роз’ясню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вально-пропоган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дистської роботи серед населення</w:t>
            </w:r>
          </w:p>
        </w:tc>
        <w:tc>
          <w:tcPr>
            <w:tcW w:w="5103" w:type="dxa"/>
          </w:tcPr>
          <w:p w14:paraId="70771163" w14:textId="77777777" w:rsidR="007C3142" w:rsidRPr="007C3142" w:rsidRDefault="007C3142" w:rsidP="007C3142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Виготовлення наочних матеріалів (інформацій-них стендів, плакатів, попереджувальних табличок, листівок та ін.) з безпеки життєдіяльності населення</w:t>
            </w:r>
          </w:p>
        </w:tc>
        <w:tc>
          <w:tcPr>
            <w:tcW w:w="1418" w:type="dxa"/>
            <w:vAlign w:val="center"/>
          </w:tcPr>
          <w:p w14:paraId="22E2F6F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Align w:val="center"/>
          </w:tcPr>
          <w:p w14:paraId="7828CF5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  <w:p w14:paraId="50A85C7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  <w:p w14:paraId="65EFD28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3C6CD066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Align w:val="center"/>
          </w:tcPr>
          <w:p w14:paraId="3583B1D8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Наочне сприйняття населенням вимог безпеки життєдіяльності та порядку дій в разі виникнення надзвичайних ситуацій</w:t>
            </w:r>
          </w:p>
        </w:tc>
      </w:tr>
      <w:tr w:rsidR="007C3142" w:rsidRPr="007C3142" w14:paraId="34C8ECB7" w14:textId="77777777" w:rsidTr="00F81F91">
        <w:trPr>
          <w:trHeight w:val="575"/>
        </w:trPr>
        <w:tc>
          <w:tcPr>
            <w:tcW w:w="533" w:type="dxa"/>
            <w:vMerge w:val="restart"/>
          </w:tcPr>
          <w:p w14:paraId="2ACF6DBB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</w:t>
            </w:r>
          </w:p>
        </w:tc>
        <w:tc>
          <w:tcPr>
            <w:tcW w:w="1877" w:type="dxa"/>
            <w:vMerge w:val="restart"/>
          </w:tcPr>
          <w:p w14:paraId="72B15C73" w14:textId="104E52A2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функціону</w:t>
            </w:r>
            <w:r w:rsidR="002C3699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 органів управління місцевої ланки ТП ЦЗ</w:t>
            </w:r>
          </w:p>
        </w:tc>
        <w:tc>
          <w:tcPr>
            <w:tcW w:w="5103" w:type="dxa"/>
          </w:tcPr>
          <w:p w14:paraId="19349D7E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3.1. Придбання оргтехніки та засобів зв’язку для обладнання пункту управління</w:t>
            </w:r>
          </w:p>
        </w:tc>
        <w:tc>
          <w:tcPr>
            <w:tcW w:w="1418" w:type="dxa"/>
            <w:vMerge w:val="restart"/>
            <w:vAlign w:val="center"/>
          </w:tcPr>
          <w:p w14:paraId="128AAC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6CF6B7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</w:t>
            </w:r>
          </w:p>
        </w:tc>
        <w:tc>
          <w:tcPr>
            <w:tcW w:w="1843" w:type="dxa"/>
            <w:vMerge w:val="restart"/>
          </w:tcPr>
          <w:p w14:paraId="4FDC2901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4C1DF83C" w14:textId="77777777" w:rsidR="007C3142" w:rsidRPr="007C3142" w:rsidRDefault="007C3142" w:rsidP="007C3142">
            <w:pPr>
              <w:suppressAutoHyphens/>
              <w:ind w:lef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Готовність пункту управління до використання за призначенням</w:t>
            </w:r>
          </w:p>
        </w:tc>
      </w:tr>
      <w:tr w:rsidR="007C3142" w:rsidRPr="007C3142" w14:paraId="672E47EB" w14:textId="77777777" w:rsidTr="00F81F91">
        <w:trPr>
          <w:trHeight w:val="980"/>
        </w:trPr>
        <w:tc>
          <w:tcPr>
            <w:tcW w:w="533" w:type="dxa"/>
            <w:vMerge/>
            <w:vAlign w:val="center"/>
          </w:tcPr>
          <w:p w14:paraId="1B2DF6E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D66E91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00A09E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3.2. Придбання бензину, мастила для заправки аварійних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1C29B862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0793519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39ACA6C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2F86F33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362D0C17" w14:textId="77777777" w:rsidTr="00F81F91">
        <w:trPr>
          <w:cantSplit/>
          <w:trHeight w:val="973"/>
        </w:trPr>
        <w:tc>
          <w:tcPr>
            <w:tcW w:w="533" w:type="dxa"/>
            <w:vMerge w:val="restart"/>
          </w:tcPr>
          <w:p w14:paraId="7589FDA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</w:t>
            </w:r>
          </w:p>
        </w:tc>
        <w:tc>
          <w:tcPr>
            <w:tcW w:w="1877" w:type="dxa"/>
            <w:vMerge w:val="restart"/>
          </w:tcPr>
          <w:p w14:paraId="49D3DB9C" w14:textId="77777777" w:rsidR="007C3142" w:rsidRPr="007C3142" w:rsidRDefault="007C3142" w:rsidP="007C3142">
            <w:pPr>
              <w:suppressAutoHyphens/>
              <w:ind w:left="-107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Здійснення організаційних та спеціальних заходів щодо запобігання виникненню надзвичайних ситуацій і ліквідація наслідків надзвичайних ситуацій техногенного і природного характеру</w:t>
            </w:r>
          </w:p>
        </w:tc>
        <w:tc>
          <w:tcPr>
            <w:tcW w:w="5103" w:type="dxa"/>
          </w:tcPr>
          <w:p w14:paraId="5F9CCC82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4.1. Придбання необхідного майна, створення та поповнення місцевого матеріально-технічного резерву для попередження і ліквідації наслідків надзвичайних ситуацій та ін.</w:t>
            </w:r>
          </w:p>
        </w:tc>
        <w:tc>
          <w:tcPr>
            <w:tcW w:w="1418" w:type="dxa"/>
            <w:vMerge w:val="restart"/>
            <w:vAlign w:val="center"/>
          </w:tcPr>
          <w:p w14:paraId="1D5E731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1588" w:type="dxa"/>
            <w:vMerge w:val="restart"/>
            <w:vAlign w:val="center"/>
          </w:tcPr>
          <w:p w14:paraId="4B72075B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міської ради,</w:t>
            </w: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 xml:space="preserve"> управління освіти, молоді та спорту, управління житлово-комуналь-ного госпо-дарства,</w:t>
            </w:r>
          </w:p>
          <w:p w14:paraId="70910B44" w14:textId="77777777" w:rsidR="007C3142" w:rsidRPr="007C3142" w:rsidRDefault="007C3142" w:rsidP="007C3142">
            <w:pPr>
              <w:suppressAutoHyphens/>
              <w:ind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  <w:t>КНП «Смілянська міська лікарня»</w:t>
            </w:r>
          </w:p>
        </w:tc>
        <w:tc>
          <w:tcPr>
            <w:tcW w:w="1843" w:type="dxa"/>
            <w:vMerge w:val="restart"/>
          </w:tcPr>
          <w:p w14:paraId="076A2E69" w14:textId="77777777" w:rsidR="007C3142" w:rsidRPr="007C3142" w:rsidRDefault="007C3142" w:rsidP="007C3142">
            <w:pPr>
              <w:suppressAutoHyphens/>
              <w:ind w:left="-108" w:right="31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0F832B9E" w14:textId="77777777" w:rsidR="007C3142" w:rsidRPr="007C3142" w:rsidRDefault="007C3142" w:rsidP="007C3142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Запобігання і ліквідація наслідків надзвичайних ситуацій техногенного і природного характеру</w:t>
            </w:r>
          </w:p>
        </w:tc>
      </w:tr>
      <w:tr w:rsidR="007C3142" w:rsidRPr="007C3142" w14:paraId="10430159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93590F7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17073FEE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C2C4C08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4.2. Придбання резервних джерел живлення (генераторів) та джерел додаткового опалювання (теплові пушки, конвектори, обігрівачі, пічки «буржуйки», дрова, паливні пелети та ін.) для організації обігріву населення при припиненні теплопостачання в опалювальний період та оплата послуг, пов’язаних з цим</w:t>
            </w:r>
          </w:p>
        </w:tc>
        <w:tc>
          <w:tcPr>
            <w:tcW w:w="1418" w:type="dxa"/>
            <w:vMerge/>
            <w:vAlign w:val="center"/>
          </w:tcPr>
          <w:p w14:paraId="1A6D75B9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449F120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53B45E4C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4992653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5971573D" w14:textId="77777777" w:rsidTr="00F81F91">
        <w:trPr>
          <w:cantSplit/>
          <w:trHeight w:val="783"/>
        </w:trPr>
        <w:tc>
          <w:tcPr>
            <w:tcW w:w="533" w:type="dxa"/>
            <w:vMerge/>
            <w:vAlign w:val="center"/>
          </w:tcPr>
          <w:p w14:paraId="7597768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EAB89B6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25CEF571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4.3. Придбання бензину, дизельного пального, мастила для заправки резервних джерел живлення</w:t>
            </w:r>
          </w:p>
        </w:tc>
        <w:tc>
          <w:tcPr>
            <w:tcW w:w="1418" w:type="dxa"/>
            <w:vMerge/>
            <w:vAlign w:val="center"/>
          </w:tcPr>
          <w:p w14:paraId="0FAAC03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249D322F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3D9B08FF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7FB4E2E5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C3142" w:rsidRPr="007C3142" w14:paraId="6DB138BF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6C2C964D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058EEB55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56E6C9F5" w14:textId="77777777" w:rsidR="007C3142" w:rsidRPr="007C3142" w:rsidRDefault="007C3142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4.4. </w:t>
            </w:r>
            <w:r w:rsidRPr="007C3142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Придбання резервних джерел живлення (генераторів) для забезпечення безперебійної роботи об’єктів критичної інфраструктури міста</w:t>
            </w:r>
          </w:p>
        </w:tc>
        <w:tc>
          <w:tcPr>
            <w:tcW w:w="1418" w:type="dxa"/>
            <w:vMerge/>
            <w:vAlign w:val="center"/>
          </w:tcPr>
          <w:p w14:paraId="6EDEB10A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703AC231" w14:textId="77777777" w:rsidR="007C3142" w:rsidRPr="007C3142" w:rsidRDefault="007C3142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1938D1DB" w14:textId="77777777" w:rsidR="007C3142" w:rsidRPr="007C3142" w:rsidRDefault="007C3142" w:rsidP="007C3142">
            <w:pPr>
              <w:suppressAutoHyphens/>
              <w:ind w:left="113" w:right="113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33D7825F" w14:textId="77777777" w:rsidR="007C3142" w:rsidRPr="007C3142" w:rsidRDefault="007C3142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39659259" w14:textId="77777777" w:rsidR="007565E8" w:rsidRDefault="007565E8" w:rsidP="00750568">
      <w:pPr>
        <w:ind w:left="12036"/>
        <w:rPr>
          <w:rFonts w:ascii="Times New Roman" w:hAnsi="Times New Roman" w:cs="Times New Roman"/>
        </w:rPr>
      </w:pPr>
    </w:p>
    <w:p w14:paraId="0869D9AF" w14:textId="38F56662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FD0BFF3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075DFCB8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77"/>
        <w:gridCol w:w="5103"/>
        <w:gridCol w:w="1418"/>
        <w:gridCol w:w="1588"/>
        <w:gridCol w:w="1843"/>
        <w:gridCol w:w="2551"/>
      </w:tblGrid>
      <w:tr w:rsidR="00750568" w:rsidRPr="007C3142" w14:paraId="5C6A3B03" w14:textId="77777777" w:rsidTr="00F81F91">
        <w:trPr>
          <w:cantSplit/>
          <w:trHeight w:val="1074"/>
        </w:trPr>
        <w:tc>
          <w:tcPr>
            <w:tcW w:w="533" w:type="dxa"/>
            <w:vMerge w:val="restart"/>
            <w:vAlign w:val="center"/>
          </w:tcPr>
          <w:p w14:paraId="42DAE71B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 w:val="restart"/>
          </w:tcPr>
          <w:p w14:paraId="62E0CA0D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64B44D5B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4.5. Перевезення громадян, які постраждали внаслідок надзвичайних ситуацій, під час евакуаційних заходів та тих, які потребують допомоги та ін.</w:t>
            </w:r>
          </w:p>
        </w:tc>
        <w:tc>
          <w:tcPr>
            <w:tcW w:w="1418" w:type="dxa"/>
            <w:vMerge w:val="restart"/>
            <w:vAlign w:val="center"/>
          </w:tcPr>
          <w:p w14:paraId="740886D4" w14:textId="1E5CA3D8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06296D01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 w:val="restart"/>
          </w:tcPr>
          <w:p w14:paraId="7E4767BF" w14:textId="588DF3B8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  <w:vAlign w:val="center"/>
          </w:tcPr>
          <w:p w14:paraId="146406EC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C3142" w14:paraId="30ACEAFC" w14:textId="77777777" w:rsidTr="00F81F91">
        <w:trPr>
          <w:cantSplit/>
          <w:trHeight w:val="1074"/>
        </w:trPr>
        <w:tc>
          <w:tcPr>
            <w:tcW w:w="533" w:type="dxa"/>
            <w:vMerge/>
            <w:vAlign w:val="center"/>
          </w:tcPr>
          <w:p w14:paraId="7266D387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CDE265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</w:tcPr>
          <w:p w14:paraId="0E731C61" w14:textId="77777777" w:rsidR="00750568" w:rsidRPr="007C3142" w:rsidRDefault="00750568" w:rsidP="007C3142">
            <w:pPr>
              <w:suppressAutoHyphens/>
              <w:ind w:left="34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C31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4.6. Перевезення працівників, які задіяні під час ліквідації наслідків надзвичайної ситуації та наданні допомоги постраждалому населенню та ін.</w:t>
            </w:r>
          </w:p>
        </w:tc>
        <w:tc>
          <w:tcPr>
            <w:tcW w:w="1418" w:type="dxa"/>
            <w:vMerge/>
            <w:vAlign w:val="center"/>
          </w:tcPr>
          <w:p w14:paraId="71146710" w14:textId="17A48A5C" w:rsidR="00750568" w:rsidRPr="007C3142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6C2C900" w14:textId="77777777" w:rsidR="00750568" w:rsidRPr="007C3142" w:rsidRDefault="00750568" w:rsidP="007C314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69A5C5F6" w14:textId="0C7DFE35" w:rsidR="00750568" w:rsidRPr="007C3142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17A85AB7" w14:textId="77777777" w:rsidR="00750568" w:rsidRPr="007C3142" w:rsidRDefault="00750568" w:rsidP="007C3142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727D62B2" w14:textId="77777777" w:rsidTr="00F81F91">
        <w:trPr>
          <w:trHeight w:val="1000"/>
        </w:trPr>
        <w:tc>
          <w:tcPr>
            <w:tcW w:w="533" w:type="dxa"/>
            <w:vMerge/>
            <w:vAlign w:val="center"/>
          </w:tcPr>
          <w:p w14:paraId="119699F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599D7783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8FED42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4.7. Витрати на заходи з ліквідації наслідків надзвичайних ситуацій воєнного характеру (ракетно-бомбові удари, артилерійські обстріли, бойові дії та ін.)</w:t>
            </w:r>
          </w:p>
        </w:tc>
        <w:tc>
          <w:tcPr>
            <w:tcW w:w="1418" w:type="dxa"/>
            <w:vMerge/>
            <w:vAlign w:val="center"/>
          </w:tcPr>
          <w:p w14:paraId="331E984B" w14:textId="58173646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37C535D6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23AF1C40" w14:textId="391FE28F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0FDB7DFF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0843A71" w14:textId="77777777" w:rsidTr="00F81F91">
        <w:trPr>
          <w:trHeight w:val="750"/>
        </w:trPr>
        <w:tc>
          <w:tcPr>
            <w:tcW w:w="533" w:type="dxa"/>
            <w:vMerge/>
            <w:vAlign w:val="center"/>
          </w:tcPr>
          <w:p w14:paraId="4F40364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D70410C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67C6D1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4.8. Витрати на поховання осіб, які загинули внаслідок виникнення надзвичайної ситуації та ін.</w:t>
            </w:r>
          </w:p>
        </w:tc>
        <w:tc>
          <w:tcPr>
            <w:tcW w:w="1418" w:type="dxa"/>
            <w:vMerge/>
            <w:vAlign w:val="center"/>
          </w:tcPr>
          <w:p w14:paraId="6E71A50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18D5EF8B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625358D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328557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096839CC" w14:textId="77777777" w:rsidTr="00F81F91">
        <w:trPr>
          <w:trHeight w:val="2459"/>
        </w:trPr>
        <w:tc>
          <w:tcPr>
            <w:tcW w:w="533" w:type="dxa"/>
            <w:vMerge/>
            <w:vAlign w:val="center"/>
          </w:tcPr>
          <w:p w14:paraId="2BC2C4C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6A0434A6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3E64B825" w14:textId="37DFE47C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4.9. Витрати на заходи з попередження надзвичайних подій</w:t>
            </w:r>
            <w:r w:rsidR="007565E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та ситуацій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ліквідації наслідків природних та техногенних явищ, надзвичайних ситуацій (обмерзання, ожеледиця, снігопад, мороз, обвали, паводки, підтоплення, сильний дощ, зливи, шквальні стихійні лиха, загрози повалення дерев, радіаційне, хімічне, медико-біологічне забруднення, припинення тепло-</w:t>
            </w:r>
            <w:r w:rsidR="003465C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 та електро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постачання в зимовий період та ін.)</w:t>
            </w:r>
          </w:p>
        </w:tc>
        <w:tc>
          <w:tcPr>
            <w:tcW w:w="1418" w:type="dxa"/>
            <w:vMerge/>
            <w:vAlign w:val="center"/>
          </w:tcPr>
          <w:p w14:paraId="38F9363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4BA290FC" w14:textId="77777777" w:rsidR="00750568" w:rsidRPr="00750568" w:rsidRDefault="00750568" w:rsidP="00750568">
            <w:pPr>
              <w:suppressAutoHyphens/>
              <w:ind w:left="57" w:right="5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vAlign w:val="center"/>
          </w:tcPr>
          <w:p w14:paraId="36A0F0AF" w14:textId="77777777" w:rsidR="00750568" w:rsidRPr="00750568" w:rsidRDefault="00750568" w:rsidP="00750568">
            <w:pPr>
              <w:suppressAutoHyphens/>
              <w:ind w:left="-108" w:right="-108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573E3AF2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2FB309E" w14:textId="77777777" w:rsidTr="00F81F91">
        <w:trPr>
          <w:trHeight w:val="830"/>
        </w:trPr>
        <w:tc>
          <w:tcPr>
            <w:tcW w:w="533" w:type="dxa"/>
            <w:vMerge/>
            <w:vAlign w:val="center"/>
          </w:tcPr>
          <w:p w14:paraId="7E7DFF7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42BDF5C2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0C89ED9E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4.10. Витрати на облаштування та утримання блокпостів (враховуючи послуги з харчування, транспортного забезпечення та ін.)</w:t>
            </w:r>
          </w:p>
        </w:tc>
        <w:tc>
          <w:tcPr>
            <w:tcW w:w="1418" w:type="dxa"/>
            <w:vMerge/>
            <w:vAlign w:val="center"/>
          </w:tcPr>
          <w:p w14:paraId="226D8D9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  <w:vAlign w:val="center"/>
          </w:tcPr>
          <w:p w14:paraId="5FDD5608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  <w:textDirection w:val="btLr"/>
          </w:tcPr>
          <w:p w14:paraId="493A66FE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608E024D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  <w:tr w:rsidR="00750568" w:rsidRPr="00750568" w14:paraId="4DCBBD62" w14:textId="77777777" w:rsidTr="007565E8">
        <w:trPr>
          <w:trHeight w:val="416"/>
        </w:trPr>
        <w:tc>
          <w:tcPr>
            <w:tcW w:w="533" w:type="dxa"/>
            <w:vMerge/>
            <w:vAlign w:val="center"/>
          </w:tcPr>
          <w:p w14:paraId="398505C6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7" w:type="dxa"/>
            <w:vMerge/>
          </w:tcPr>
          <w:p w14:paraId="3F3B57BE" w14:textId="77777777" w:rsidR="00750568" w:rsidRPr="00750568" w:rsidRDefault="00750568" w:rsidP="00750568">
            <w:pPr>
              <w:suppressAutoHyphens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5103" w:type="dxa"/>
            <w:vAlign w:val="center"/>
          </w:tcPr>
          <w:p w14:paraId="62A1F38E" w14:textId="27AA3970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4.11. Витрати на заходи (оплата послуг, придбання необхідних матеріалів) з встановлення та налагодження систем резервного живлення в місцях обігріву населення, закладах освіти, медичних закладах та інших закладах у разі потреби</w:t>
            </w:r>
          </w:p>
        </w:tc>
        <w:tc>
          <w:tcPr>
            <w:tcW w:w="1418" w:type="dxa"/>
            <w:vMerge/>
          </w:tcPr>
          <w:p w14:paraId="7A097F2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595EE815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28FA5867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</w:tcPr>
          <w:p w14:paraId="271E3B0A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</w:tr>
    </w:tbl>
    <w:p w14:paraId="0BFBC075" w14:textId="77777777" w:rsidR="00750568" w:rsidRPr="007652C9" w:rsidRDefault="00750568" w:rsidP="00750568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541301E6" w14:textId="77777777" w:rsidR="00750568" w:rsidRDefault="00750568" w:rsidP="00750568">
      <w:pPr>
        <w:ind w:left="12036"/>
      </w:pPr>
      <w:r w:rsidRPr="007652C9">
        <w:rPr>
          <w:rFonts w:ascii="Times New Roman" w:hAnsi="Times New Roman" w:cs="Times New Roman"/>
        </w:rPr>
        <w:t>до Програми</w:t>
      </w:r>
    </w:p>
    <w:p w14:paraId="3B822CC1" w14:textId="77777777" w:rsidR="00750568" w:rsidRDefault="00750568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78"/>
        <w:gridCol w:w="4990"/>
        <w:gridCol w:w="1531"/>
        <w:gridCol w:w="1588"/>
        <w:gridCol w:w="1843"/>
        <w:gridCol w:w="2551"/>
      </w:tblGrid>
      <w:tr w:rsidR="00AA69B8" w:rsidRPr="00750568" w14:paraId="5E2079CD" w14:textId="77777777" w:rsidTr="00F81F91">
        <w:trPr>
          <w:trHeight w:val="1431"/>
        </w:trPr>
        <w:tc>
          <w:tcPr>
            <w:tcW w:w="532" w:type="dxa"/>
          </w:tcPr>
          <w:p w14:paraId="1C2D2EC6" w14:textId="090E8E6A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</w:tcPr>
          <w:p w14:paraId="0C681110" w14:textId="453B2530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0F634FF5" w14:textId="486A4A7D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4.12. Витрати на заходи із забезпечення екологічно безпечного збирання, перевезення, зберігання, оброблення приладів, роздільного збирання небезпечних відходів в т.ч. ртутьвмісних відходів від населення громади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FFF25DE" w14:textId="7631CAB1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9D55A" w14:textId="541E0083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14:paraId="56FABD74" w14:textId="0D19876E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C42EA39" w14:textId="2D9781CD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AA69B8" w:rsidRPr="00750568" w14:paraId="61322B45" w14:textId="77777777" w:rsidTr="00F81F91">
        <w:trPr>
          <w:trHeight w:val="2418"/>
        </w:trPr>
        <w:tc>
          <w:tcPr>
            <w:tcW w:w="532" w:type="dxa"/>
          </w:tcPr>
          <w:p w14:paraId="44CE3912" w14:textId="0C749C9D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78" w:type="dxa"/>
          </w:tcPr>
          <w:p w14:paraId="367039E3" w14:textId="70A8FB7D" w:rsidR="00AA69B8" w:rsidRPr="00750568" w:rsidRDefault="00AA69B8" w:rsidP="00AA69B8">
            <w:pPr>
              <w:suppressAutoHyphens/>
              <w:ind w:left="-74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Приведення фонду захисних споруд цивільного захисту у готовність до використання за призначенням</w:t>
            </w:r>
          </w:p>
        </w:tc>
        <w:tc>
          <w:tcPr>
            <w:tcW w:w="4990" w:type="dxa"/>
          </w:tcPr>
          <w:p w14:paraId="0A6984D9" w14:textId="30B87E38" w:rsidR="00AA69B8" w:rsidRPr="00750568" w:rsidRDefault="00AA69B8" w:rsidP="00AA69B8">
            <w:pPr>
              <w:suppressAutoHyphens/>
              <w:ind w:firstLine="37"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Відновлення захисних властивостей захисних споруд цивільного захисту, споруд подвійного призначення, найпростіших укриттів шляхом проведення поточного або капітального ремонту приміщень, систем вентиляції, водопровідно-каналізаційних мереж, електричних мереж тощо. Витрати на виготовлення проєктно-кошторисної та іншої необхідної документації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0D1A21F9" w14:textId="24611244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8CAD" w14:textId="77777777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</w:t>
            </w:r>
          </w:p>
          <w:p w14:paraId="3E95F638" w14:textId="6CD6BDB6" w:rsidR="00AA69B8" w:rsidRPr="00750568" w:rsidRDefault="00AA69B8" w:rsidP="00AA69B8">
            <w:pPr>
              <w:suppressAutoHyphens/>
              <w:ind w:left="-142" w:right="-11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міської ради, суб’єкти господарю</w:t>
            </w:r>
            <w:r w:rsidR="00D3261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-</w:t>
            </w: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вання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394FE" w14:textId="597D5E7D" w:rsidR="00AA69B8" w:rsidRPr="00750568" w:rsidRDefault="00AA69B8" w:rsidP="00AA69B8">
            <w:pPr>
              <w:suppressAutoHyphens/>
              <w:ind w:left="-108" w:right="34"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479528" w14:textId="399ED506" w:rsidR="00AA69B8" w:rsidRPr="00750568" w:rsidRDefault="00AA69B8" w:rsidP="00AA69B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Розміщення органів управління та захист населення в особливий період</w:t>
            </w:r>
          </w:p>
        </w:tc>
      </w:tr>
      <w:tr w:rsidR="00750568" w:rsidRPr="00750568" w14:paraId="5D2857C7" w14:textId="77777777" w:rsidTr="00F81F91">
        <w:trPr>
          <w:trHeight w:val="1202"/>
        </w:trPr>
        <w:tc>
          <w:tcPr>
            <w:tcW w:w="532" w:type="dxa"/>
            <w:vMerge w:val="restart"/>
          </w:tcPr>
          <w:p w14:paraId="45479BC1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78" w:type="dxa"/>
            <w:vMerge w:val="restart"/>
          </w:tcPr>
          <w:p w14:paraId="672F16C0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Забезпечення проведення мобілізації людських і транспортних ресурсів</w:t>
            </w:r>
          </w:p>
        </w:tc>
        <w:tc>
          <w:tcPr>
            <w:tcW w:w="4990" w:type="dxa"/>
          </w:tcPr>
          <w:p w14:paraId="1488A336" w14:textId="30CEF7E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6.1. Перевезення військовослужбовців до місць проведення навчань, до збірних пунктів та військових частин Міністерства Оборони України</w:t>
            </w:r>
          </w:p>
        </w:tc>
        <w:tc>
          <w:tcPr>
            <w:tcW w:w="1531" w:type="dxa"/>
            <w:vMerge w:val="restart"/>
            <w:vAlign w:val="center"/>
          </w:tcPr>
          <w:p w14:paraId="58EA11D4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1588" w:type="dxa"/>
            <w:vMerge w:val="restart"/>
            <w:vAlign w:val="center"/>
          </w:tcPr>
          <w:p w14:paraId="26BAC93C" w14:textId="379644CC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Виконавчий комітет міської ради, </w:t>
            </w:r>
            <w:r w:rsidR="005F0FCB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*******</w:t>
            </w:r>
          </w:p>
        </w:tc>
        <w:tc>
          <w:tcPr>
            <w:tcW w:w="1843" w:type="dxa"/>
            <w:vMerge w:val="restart"/>
          </w:tcPr>
          <w:p w14:paraId="66C6C6C1" w14:textId="77777777" w:rsidR="00750568" w:rsidRPr="00750568" w:rsidRDefault="00750568" w:rsidP="00750568">
            <w:pPr>
              <w:suppressAutoHyphens/>
              <w:jc w:val="center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51" w:type="dxa"/>
            <w:vMerge w:val="restart"/>
          </w:tcPr>
          <w:p w14:paraId="72C3D0A6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75056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Підвищення обороноздатності держави, </w:t>
            </w:r>
            <w:bookmarkStart w:id="2" w:name="n16"/>
            <w:bookmarkStart w:id="3" w:name="n17"/>
            <w:bookmarkEnd w:id="2"/>
            <w:bookmarkEnd w:id="3"/>
            <w:r w:rsidRPr="00750568">
              <w:rPr>
                <w:rFonts w:ascii="Times New Roman" w:eastAsia="Times New Roman" w:hAnsi="Times New Roman" w:cs="Times New Roman"/>
                <w:lang w:eastAsia="ru-RU" w:bidi="ar-SA"/>
              </w:rPr>
              <w:t>підготовка військового резерву Збройних Сил України</w:t>
            </w:r>
          </w:p>
        </w:tc>
      </w:tr>
      <w:tr w:rsidR="00750568" w:rsidRPr="00750568" w14:paraId="5031F395" w14:textId="77777777" w:rsidTr="00F81F91">
        <w:trPr>
          <w:trHeight w:val="1627"/>
        </w:trPr>
        <w:tc>
          <w:tcPr>
            <w:tcW w:w="532" w:type="dxa"/>
            <w:vMerge/>
          </w:tcPr>
          <w:p w14:paraId="6FBC67A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78" w:type="dxa"/>
            <w:vMerge/>
          </w:tcPr>
          <w:p w14:paraId="29E13CE6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4990" w:type="dxa"/>
          </w:tcPr>
          <w:p w14:paraId="40EA051E" w14:textId="0F08E5F5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50568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6.2. Організація харчування (придбання продуктів харчування, оплата послуг з приготування) військовослужбовців під час проведення навчань, зборів, проведення ротацій</w:t>
            </w:r>
          </w:p>
        </w:tc>
        <w:tc>
          <w:tcPr>
            <w:tcW w:w="1531" w:type="dxa"/>
            <w:vMerge/>
          </w:tcPr>
          <w:p w14:paraId="6CD3274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588" w:type="dxa"/>
            <w:vMerge/>
          </w:tcPr>
          <w:p w14:paraId="7B962D99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4B6034F3" w14:textId="77777777" w:rsidR="00750568" w:rsidRPr="00750568" w:rsidRDefault="00750568" w:rsidP="00750568">
            <w:pPr>
              <w:suppressAutoHyphens/>
              <w:jc w:val="both"/>
              <w:rPr>
                <w:rFonts w:ascii="Times New Roman" w:eastAsia="SimSun" w:hAnsi="Times New Roman" w:cs="Mangal"/>
                <w:color w:val="auto"/>
                <w:kern w:val="2"/>
                <w:lang w:eastAsia="hi-IN" w:bidi="hi-IN"/>
              </w:rPr>
            </w:pPr>
          </w:p>
        </w:tc>
        <w:tc>
          <w:tcPr>
            <w:tcW w:w="2551" w:type="dxa"/>
            <w:vMerge/>
            <w:vAlign w:val="center"/>
          </w:tcPr>
          <w:p w14:paraId="44DC3D8C" w14:textId="77777777" w:rsidR="00750568" w:rsidRPr="00750568" w:rsidRDefault="00750568" w:rsidP="00750568">
            <w:pPr>
              <w:widowControl/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14:paraId="1DDC72EA" w14:textId="77777777" w:rsidR="00750568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52E53BD0" w14:textId="77777777" w:rsidR="00750568" w:rsidRPr="007652C9" w:rsidRDefault="00750568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7565E8">
      <w:pgSz w:w="16838" w:h="11906" w:orient="landscape"/>
      <w:pgMar w:top="1135" w:right="53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EF5C" w14:textId="77777777" w:rsidR="00CE44C9" w:rsidRDefault="00CE44C9">
      <w:r>
        <w:separator/>
      </w:r>
    </w:p>
  </w:endnote>
  <w:endnote w:type="continuationSeparator" w:id="0">
    <w:p w14:paraId="2CB45EDB" w14:textId="77777777" w:rsidR="00CE44C9" w:rsidRDefault="00CE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Andale Mono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487D" w14:textId="77777777" w:rsidR="00CE44C9" w:rsidRDefault="00CE44C9">
      <w:r>
        <w:separator/>
      </w:r>
    </w:p>
  </w:footnote>
  <w:footnote w:type="continuationSeparator" w:id="0">
    <w:p w14:paraId="42418E30" w14:textId="77777777" w:rsidR="00CE44C9" w:rsidRDefault="00CE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C5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3F88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2109"/>
    <w:rsid w:val="000F5680"/>
    <w:rsid w:val="000F6AFD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07DE"/>
    <w:rsid w:val="0019145D"/>
    <w:rsid w:val="00191F1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041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1705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97A7A"/>
    <w:rsid w:val="002A0CE4"/>
    <w:rsid w:val="002A39BA"/>
    <w:rsid w:val="002A5051"/>
    <w:rsid w:val="002A50D7"/>
    <w:rsid w:val="002A5305"/>
    <w:rsid w:val="002A69A9"/>
    <w:rsid w:val="002B33D6"/>
    <w:rsid w:val="002B7075"/>
    <w:rsid w:val="002C3699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11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5C7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2298"/>
    <w:rsid w:val="00474C8A"/>
    <w:rsid w:val="0047526C"/>
    <w:rsid w:val="004755F2"/>
    <w:rsid w:val="004760DF"/>
    <w:rsid w:val="00476E73"/>
    <w:rsid w:val="0048004D"/>
    <w:rsid w:val="00483941"/>
    <w:rsid w:val="004866D7"/>
    <w:rsid w:val="00487C07"/>
    <w:rsid w:val="004955B1"/>
    <w:rsid w:val="004960CB"/>
    <w:rsid w:val="004963FA"/>
    <w:rsid w:val="004A1987"/>
    <w:rsid w:val="004A1EA7"/>
    <w:rsid w:val="004A3B57"/>
    <w:rsid w:val="004B046E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534"/>
    <w:rsid w:val="004E2C43"/>
    <w:rsid w:val="004E34EF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385"/>
    <w:rsid w:val="005E1BC7"/>
    <w:rsid w:val="005E3190"/>
    <w:rsid w:val="005E3B95"/>
    <w:rsid w:val="005E3CD0"/>
    <w:rsid w:val="005E408B"/>
    <w:rsid w:val="005E4ACB"/>
    <w:rsid w:val="005F044F"/>
    <w:rsid w:val="005F0F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14"/>
    <w:rsid w:val="00632872"/>
    <w:rsid w:val="0063690A"/>
    <w:rsid w:val="00637D8A"/>
    <w:rsid w:val="00640C89"/>
    <w:rsid w:val="00644AB6"/>
    <w:rsid w:val="006462C0"/>
    <w:rsid w:val="00647DBE"/>
    <w:rsid w:val="0065011E"/>
    <w:rsid w:val="00653CE6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62E"/>
    <w:rsid w:val="00681B53"/>
    <w:rsid w:val="00682C48"/>
    <w:rsid w:val="00685CE1"/>
    <w:rsid w:val="0068630F"/>
    <w:rsid w:val="00687E1F"/>
    <w:rsid w:val="0069118E"/>
    <w:rsid w:val="00691F24"/>
    <w:rsid w:val="00691F43"/>
    <w:rsid w:val="0069238C"/>
    <w:rsid w:val="00693630"/>
    <w:rsid w:val="00693C26"/>
    <w:rsid w:val="00695F34"/>
    <w:rsid w:val="006963E9"/>
    <w:rsid w:val="006A2CAA"/>
    <w:rsid w:val="006A4AF6"/>
    <w:rsid w:val="006A4E52"/>
    <w:rsid w:val="006B169C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215A"/>
    <w:rsid w:val="006E49A4"/>
    <w:rsid w:val="006E6D0C"/>
    <w:rsid w:val="006F3913"/>
    <w:rsid w:val="006F570E"/>
    <w:rsid w:val="006F7EFB"/>
    <w:rsid w:val="007036C7"/>
    <w:rsid w:val="00713909"/>
    <w:rsid w:val="0071523D"/>
    <w:rsid w:val="0071662E"/>
    <w:rsid w:val="00716E25"/>
    <w:rsid w:val="00717F42"/>
    <w:rsid w:val="00720A0C"/>
    <w:rsid w:val="007228D6"/>
    <w:rsid w:val="0073521E"/>
    <w:rsid w:val="007413DC"/>
    <w:rsid w:val="00744352"/>
    <w:rsid w:val="00750472"/>
    <w:rsid w:val="00750568"/>
    <w:rsid w:val="007525FE"/>
    <w:rsid w:val="0075528E"/>
    <w:rsid w:val="007559B8"/>
    <w:rsid w:val="007565E8"/>
    <w:rsid w:val="00756784"/>
    <w:rsid w:val="00760BAF"/>
    <w:rsid w:val="00761EBC"/>
    <w:rsid w:val="007636C6"/>
    <w:rsid w:val="007652C9"/>
    <w:rsid w:val="00765743"/>
    <w:rsid w:val="007661D1"/>
    <w:rsid w:val="00767266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142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370A"/>
    <w:rsid w:val="00926DAA"/>
    <w:rsid w:val="009318DA"/>
    <w:rsid w:val="00933203"/>
    <w:rsid w:val="00936677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1294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5F67"/>
    <w:rsid w:val="009865C5"/>
    <w:rsid w:val="0099110C"/>
    <w:rsid w:val="00991B0D"/>
    <w:rsid w:val="00992F40"/>
    <w:rsid w:val="0099494C"/>
    <w:rsid w:val="00996BAA"/>
    <w:rsid w:val="00996EB8"/>
    <w:rsid w:val="00997E01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216C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29E6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844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67A0"/>
    <w:rsid w:val="00A97B57"/>
    <w:rsid w:val="00AA16B2"/>
    <w:rsid w:val="00AA315B"/>
    <w:rsid w:val="00AA3C3A"/>
    <w:rsid w:val="00AA3F0C"/>
    <w:rsid w:val="00AA4ED2"/>
    <w:rsid w:val="00AA58C9"/>
    <w:rsid w:val="00AA5FEF"/>
    <w:rsid w:val="00AA69B8"/>
    <w:rsid w:val="00AB20E8"/>
    <w:rsid w:val="00AB2EA1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0F3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BF74D4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1E46"/>
    <w:rsid w:val="00CD2A73"/>
    <w:rsid w:val="00CD3CCF"/>
    <w:rsid w:val="00CE3A0A"/>
    <w:rsid w:val="00CE44C9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34D5"/>
    <w:rsid w:val="00D245EA"/>
    <w:rsid w:val="00D26774"/>
    <w:rsid w:val="00D27CD4"/>
    <w:rsid w:val="00D3054C"/>
    <w:rsid w:val="00D3069F"/>
    <w:rsid w:val="00D32612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6C96"/>
    <w:rsid w:val="00DC77D3"/>
    <w:rsid w:val="00DD0D4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4D13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44C3"/>
    <w:rsid w:val="00ED5F09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1F91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1125</Words>
  <Characters>8456</Characters>
  <Application>Microsoft Office Word</Application>
  <DocSecurity>0</DocSecurity>
  <Lines>563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20</cp:revision>
  <cp:lastPrinted>2026-01-23T13:22:00Z</cp:lastPrinted>
  <dcterms:created xsi:type="dcterms:W3CDTF">2025-10-14T08:25:00Z</dcterms:created>
  <dcterms:modified xsi:type="dcterms:W3CDTF">2026-01-28T13:55:00Z</dcterms:modified>
</cp:coreProperties>
</file>