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34" w:rsidRDefault="006E39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F49" w:rsidRDefault="00B24F49" w:rsidP="00B24F49">
      <w:pPr>
        <w:pStyle w:val="ad"/>
        <w:keepNext/>
        <w:tabs>
          <w:tab w:val="left" w:pos="7122"/>
        </w:tabs>
        <w:rPr>
          <w:rFonts w:ascii="Times New Roman" w:hAnsi="Times New Roman" w:cs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7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87;height:988" o:preferrelative="f">
              <v:fill o:detectmouseclick="t"/>
              <v:path o:extrusionok="t" o:connecttype="none"/>
            </v:shape>
            <v:shape id="_x0000_s1029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30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2" style="position:absolute;left:168;top:220;width:68;height:297" coordsize="68,297" path="m32,43l48,93,62,196r6,50l48,259,30,282r-6,15l,297,,,3,,32,43xe" stroked="f">
              <v:path arrowok="t"/>
            </v:shape>
            <v:shape id="_x0000_s1033" style="position:absolute;left:531;top:222;width:67;height:296" coordsize="67,296" path="m41,296l32,274,15,255,1,246,,245,6,181,20,81,43,30,65,r2,296l41,296xe" stroked="f">
              <v:path arrowok="t"/>
            </v:shape>
            <v:shape id="_x0000_s1034" style="position:absolute;left:334;top:489;width:95;height:133" coordsize="95,133" path="m95,103l60,122,49,133,16,110,1,104r-1,l31,43,48,,76,71r19,32xe" stroked="f">
              <v:path arrowok="t"/>
            </v:shape>
            <v:shape id="_x0000_s1035" style="position:absolute;left:168;top:560;width:103;height:120" coordsize="103,120" path="m35,25l60,47,94,61r9,1l97,108r,12l,120,,,23,,35,25xe" stroked="f">
              <v:path arrowok="t"/>
            </v:shape>
            <v:shape id="_x0000_s1036" style="position:absolute;left:493;top:561;width:103;height:121" coordsize="103,121" path="m103,121r-95,l3,72,,67,,61,47,46,73,17,79,r24,l103,121xe" stroked="f">
              <v:path arrowok="t"/>
            </v:shape>
            <v:shape id="_x0000_s1037" style="position:absolute;left:309;top:633;width:50;height:47" coordsize="50,47" path="m35,13l49,31r1,12l50,47,,47,7,,20,3,35,13xe" stroked="f">
              <v:path arrowok="t"/>
            </v:shape>
            <v:shape id="_x0000_s1038" style="position:absolute;left:404;top:633;width:51;height:47" coordsize="51,47" path="m51,39r,8l,47,7,22,18,10,37,r8,l51,39xe" stroked="f">
              <v:path arrowok="t"/>
            </v:shape>
            <v:shape id="_x0000_s1039" style="position:absolute;left:313;top:723;width:46;height:81" coordsize="46,81" path="m46,81l22,53,3,10,,,46,r,81xe" stroked="f">
              <v:path arrowok="t"/>
            </v:shape>
            <v:shape id="_x0000_s1040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24F49" w:rsidRDefault="00B24F49" w:rsidP="00B24F49">
      <w:pPr>
        <w:pStyle w:val="ad"/>
        <w:keepNext/>
        <w:jc w:val="left"/>
        <w:rPr>
          <w:rFonts w:ascii="Courier New" w:hAnsi="Courier New"/>
          <w:b w:val="0"/>
          <w:bCs w:val="0"/>
        </w:rPr>
      </w:pPr>
    </w:p>
    <w:p w:rsidR="00B24F49" w:rsidRDefault="00B24F49" w:rsidP="00B24F49">
      <w:pPr>
        <w:pStyle w:val="ad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B24F49" w:rsidRDefault="00B24F49" w:rsidP="00B24F49">
      <w:pPr>
        <w:pStyle w:val="ad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>ХХХІ</w:t>
      </w:r>
      <w:proofErr w:type="gramStart"/>
      <w:r>
        <w:rPr>
          <w:rFonts w:ascii="Times New Roman" w:hAnsi="Times New Roman"/>
          <w:bCs w:val="0"/>
          <w:lang w:val="en-US"/>
        </w:rPr>
        <w:t>V</w:t>
      </w:r>
      <w:r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>СЕСІЯ</w:t>
      </w:r>
      <w:proofErr w:type="gramEnd"/>
    </w:p>
    <w:p w:rsidR="00B24F49" w:rsidRDefault="00B24F49" w:rsidP="00B24F49">
      <w:pPr>
        <w:pStyle w:val="ad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24F49" w:rsidRDefault="00B24F49" w:rsidP="00B24F49">
      <w:pPr>
        <w:pStyle w:val="ad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B24F49" w:rsidRDefault="00B24F49" w:rsidP="00B24F49">
      <w:pPr>
        <w:pStyle w:val="ad"/>
        <w:keepNext/>
        <w:rPr>
          <w:rFonts w:ascii="Times New Roman" w:hAnsi="Times New Roman"/>
          <w:spacing w:val="20"/>
        </w:rPr>
      </w:pPr>
    </w:p>
    <w:p w:rsidR="00B24F49" w:rsidRDefault="00B24F49" w:rsidP="00B24F49">
      <w:pPr>
        <w:pStyle w:val="ad"/>
        <w:keepNext/>
        <w:spacing w:line="360" w:lineRule="auto"/>
        <w:ind w:firstLine="252"/>
        <w:jc w:val="left"/>
        <w:rPr>
          <w:rFonts w:ascii="Courier New" w:hAnsi="Courier New"/>
          <w:b w:val="0"/>
          <w:bCs w:val="0"/>
          <w:u w:val="single"/>
        </w:rPr>
      </w:pPr>
      <w:r>
        <w:rPr>
          <w:rFonts w:ascii="Times New Roman" w:hAnsi="Times New Roman"/>
          <w:b w:val="0"/>
          <w:bCs w:val="0"/>
          <w:lang w:val="ru-RU"/>
        </w:rPr>
        <w:t>15.12.2021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</w:rPr>
        <w:t>№ 34-</w:t>
      </w:r>
      <w:r>
        <w:rPr>
          <w:rFonts w:ascii="Times New Roman" w:hAnsi="Times New Roman"/>
          <w:b w:val="0"/>
          <w:bCs w:val="0"/>
          <w:lang w:val="en-US"/>
        </w:rPr>
        <w:t>8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7E3EFA" w:rsidRDefault="007E3EFA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1B26" w:rsidRDefault="00521B26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</w:t>
      </w:r>
    </w:p>
    <w:p w:rsidR="00521B26" w:rsidRPr="00521B26" w:rsidRDefault="00521B26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від 24.09.2021 № 26-1/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42870" w:rsidRPr="004C391E" w:rsidRDefault="00521B26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42870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F42870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розвитку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</w:p>
    <w:p w:rsidR="00432534" w:rsidRPr="005A1594" w:rsidRDefault="00CE0237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2021-</w:t>
      </w:r>
      <w:r w:rsidR="00F42870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F42870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521B2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43253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1BA" w:rsidRPr="005A1594" w:rsidRDefault="005631BA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65E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п.22 ч.1 ст.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ч.1 ст.59 Закону України від 21.05.1997 № 280/97-ВР «Про місцеве самоврядування в Україні», </w:t>
      </w:r>
      <w:r w:rsidR="00A5072D">
        <w:rPr>
          <w:rFonts w:ascii="Times New Roman" w:hAnsi="Times New Roman" w:cs="Times New Roman"/>
          <w:sz w:val="28"/>
          <w:szCs w:val="28"/>
          <w:lang w:val="uk-UA"/>
        </w:rPr>
        <w:t>ст. 70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10, ст.15 Закону України від 06.09.2005 № 2807-IV «Про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благоустрій населених пунктів»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зміцнення матеріально-те</w:t>
      </w:r>
      <w:r w:rsidR="00CE02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хнічної бази 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СКП «Комунальник», </w:t>
      </w:r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</w:t>
      </w:r>
      <w:proofErr w:type="spellStart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Смілакомунтеплоенерго</w:t>
      </w:r>
      <w:proofErr w:type="spellEnd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642E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С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«Вод</w:t>
      </w:r>
      <w:r w:rsidR="00B24F49" w:rsidRPr="00B24F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ео</w:t>
      </w:r>
      <w:proofErr w:type="spellEnd"/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», збільшення технічної та виробничої потужності щодо забезпечення стабільної роботи комунальних підприємств, відповідно до їх функціональних призначень</w:t>
      </w:r>
      <w:r w:rsidR="00B24F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432534" w:rsidRPr="005A1594" w:rsidRDefault="0033365E" w:rsidP="00F42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21B26" w:rsidRDefault="00432534" w:rsidP="00521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міської р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 xml:space="preserve">ади від 24.09.2021 №26-1/VIII«Про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розвитку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 xml:space="preserve">лово-комунального господарства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міської т</w:t>
      </w:r>
      <w:r w:rsidR="00CE0237">
        <w:rPr>
          <w:rFonts w:ascii="Times New Roman" w:hAnsi="Times New Roman" w:cs="Times New Roman"/>
          <w:sz w:val="28"/>
          <w:szCs w:val="28"/>
          <w:lang w:val="uk-UA"/>
        </w:rPr>
        <w:t>ериторіальної громади на 2021-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2025 роки», затвердивши</w:t>
      </w:r>
      <w:r w:rsidR="000808CF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FC9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C6B75">
        <w:rPr>
          <w:rFonts w:ascii="Times New Roman" w:hAnsi="Times New Roman"/>
          <w:sz w:val="28"/>
          <w:szCs w:val="28"/>
          <w:lang w:val="uk-UA"/>
        </w:rPr>
        <w:t>2. 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>езпечити фінансування видатків</w:t>
      </w:r>
      <w:r w:rsidR="00225A2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33365E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2162A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>
        <w:rPr>
          <w:rFonts w:ascii="Times New Roman" w:hAnsi="Times New Roman"/>
          <w:sz w:val="28"/>
          <w:szCs w:val="28"/>
          <w:lang w:val="uk-UA"/>
        </w:rPr>
        <w:t>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</w:t>
      </w:r>
    </w:p>
    <w:p w:rsidR="00EA5FC9" w:rsidRDefault="0033365E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5071FB" w:rsidRPr="00763683" w:rsidRDefault="0033365E" w:rsidP="007636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5071FB" w:rsidRPr="005071FB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5071FB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DF7FB0" w:rsidRDefault="00DF7FB0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DF7FB0" w:rsidRPr="00A12A11" w:rsidRDefault="00DF7FB0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>Міський голова                                               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21B26" w:rsidRDefault="00521B26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CE0237" w:rsidRDefault="00CE023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CE0237" w:rsidRPr="00CD4F64" w:rsidRDefault="00CE023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EF490C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B24F49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  </w:t>
      </w:r>
      <w:r w:rsidR="00B24F49">
        <w:rPr>
          <w:sz w:val="28"/>
          <w:szCs w:val="28"/>
          <w:lang w:val="uk-UA"/>
        </w:rPr>
        <w:tab/>
      </w:r>
      <w:r w:rsidR="00B24F49">
        <w:rPr>
          <w:sz w:val="28"/>
          <w:szCs w:val="28"/>
          <w:lang w:val="uk-UA"/>
        </w:rPr>
        <w:tab/>
      </w:r>
      <w:r w:rsidR="00B24F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EF490C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5071FB" w:rsidRPr="00BA786B">
        <w:rPr>
          <w:sz w:val="28"/>
          <w:szCs w:val="28"/>
        </w:rPr>
        <w:t xml:space="preserve">місцевого бюджету,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фінансів, 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="00EF490C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 питань житлово-комунального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господарства</w:t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="00B24F49">
        <w:rPr>
          <w:sz w:val="28"/>
          <w:szCs w:val="28"/>
        </w:rPr>
        <w:tab/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B24F49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EF490C" w:rsidP="005071FB">
      <w:pPr>
        <w:tabs>
          <w:tab w:val="left" w:pos="7710"/>
        </w:tabs>
        <w:spacing w:after="0"/>
        <w:rPr>
          <w:sz w:val="28"/>
          <w:szCs w:val="28"/>
        </w:rPr>
      </w:pPr>
      <w:r w:rsidRPr="005C6B75">
        <w:rPr>
          <w:rStyle w:val="a5"/>
          <w:rFonts w:eastAsiaTheme="minorEastAsia"/>
          <w:sz w:val="28"/>
          <w:szCs w:val="28"/>
        </w:rPr>
        <w:t>Фінансове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управління                                           </w:t>
      </w:r>
      <w:r w:rsidR="00763683">
        <w:rPr>
          <w:rStyle w:val="a5"/>
          <w:rFonts w:eastAsiaTheme="minorEastAsia"/>
          <w:sz w:val="28"/>
          <w:szCs w:val="28"/>
        </w:rPr>
        <w:t xml:space="preserve">    Юлія ЛЮБЧЕНКО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EF490C" w:rsidP="00B24F49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24F4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B24F49">
        <w:rPr>
          <w:rStyle w:val="a7"/>
          <w:rFonts w:ascii="Times New Roman" w:hAnsi="Times New Roman" w:cs="Times New Roman"/>
          <w:sz w:val="28"/>
          <w:szCs w:val="28"/>
        </w:rPr>
        <w:tab/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5071FB" w:rsidRDefault="00763683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B24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>-</w:t>
      </w:r>
    </w:p>
    <w:p w:rsidR="00367AC1" w:rsidRPr="00367AC1" w:rsidRDefault="005071FB" w:rsidP="00B24F49">
      <w:pPr>
        <w:pStyle w:val="a4"/>
        <w:spacing w:after="0"/>
        <w:jc w:val="both"/>
        <w:rPr>
          <w:bCs/>
          <w:sz w:val="28"/>
          <w:szCs w:val="28"/>
        </w:rPr>
      </w:pPr>
      <w:r w:rsidRPr="00BA786B">
        <w:rPr>
          <w:sz w:val="28"/>
          <w:szCs w:val="28"/>
        </w:rPr>
        <w:t xml:space="preserve">комунального господарства                             </w:t>
      </w:r>
      <w:r w:rsidR="00B24F49">
        <w:rPr>
          <w:sz w:val="28"/>
          <w:szCs w:val="28"/>
        </w:rPr>
        <w:tab/>
      </w:r>
      <w:r w:rsidR="00715B49">
        <w:rPr>
          <w:sz w:val="28"/>
          <w:szCs w:val="28"/>
        </w:rPr>
        <w:t>Євгеній АВРАМЕНКО</w:t>
      </w:r>
    </w:p>
    <w:p w:rsidR="00EF490C" w:rsidRDefault="00503E36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E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="00C86090" w:rsidRPr="00B24F49">
        <w:rPr>
          <w:rFonts w:ascii="Times New Roman" w:hAnsi="Times New Roman" w:cs="Times New Roman"/>
          <w:sz w:val="28"/>
          <w:szCs w:val="28"/>
        </w:rPr>
        <w:t xml:space="preserve"> 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32534" w:rsidRPr="005A1594" w:rsidRDefault="00503E36" w:rsidP="0054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784D7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32534" w:rsidRPr="005A1594" w:rsidRDefault="00503E36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B24F49" w:rsidRDefault="00503E36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503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005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03E36">
        <w:rPr>
          <w:rFonts w:ascii="Times New Roman" w:hAnsi="Times New Roman" w:cs="Times New Roman"/>
          <w:sz w:val="28"/>
          <w:szCs w:val="28"/>
          <w:lang w:val="uk-UA"/>
        </w:rPr>
        <w:t xml:space="preserve"> 15.12.2021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F49">
        <w:rPr>
          <w:rFonts w:ascii="Times New Roman" w:hAnsi="Times New Roman" w:cs="Times New Roman"/>
          <w:sz w:val="28"/>
          <w:szCs w:val="28"/>
        </w:rPr>
        <w:t>34-8/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763683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63683" w:rsidRPr="004C391E" w:rsidRDefault="00E50258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розвитку</w:t>
      </w:r>
      <w:r w:rsidRPr="00B24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763683" w:rsidRPr="004C391E" w:rsidRDefault="00763683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763683" w:rsidRPr="005A1594" w:rsidRDefault="00CE0237" w:rsidP="0076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2021-</w:t>
      </w:r>
      <w:r w:rsidR="00763683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5631BA" w:rsidRPr="005D5BBD" w:rsidRDefault="005631BA" w:rsidP="0056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5631BA" w:rsidRDefault="005631B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Pr="00EF490C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Загальна характеристика міської Програми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Смілянської</w:t>
      </w:r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r w:rsidR="003A1B80"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Відповідальн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 виконавці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Програми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763683" w:rsidRP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Смілянське</w:t>
      </w:r>
      <w:r w:rsidR="00BE4D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омунальне підприємство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</w:t>
      </w:r>
      <w:r w:rsid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комунальне підприємство «ВодГео», комунальне підприємство «Смілакомунтеплоенерго». 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Учасники Програми: </w:t>
      </w:r>
      <w:r w:rsidR="00CE023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омунальне підприємство «Комунальник», 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комунальне підприємство «Вод</w:t>
      </w:r>
      <w:r w:rsidR="00B24F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Гео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комунальне підприємство «</w:t>
      </w:r>
      <w:proofErr w:type="spellStart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Смілакомунтеплоенерго</w:t>
      </w:r>
      <w:proofErr w:type="spellEnd"/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»,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житлово-комунального господарства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міської ради, фінансове управління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4020F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- 2025</w:t>
      </w:r>
      <w:r w:rsidRPr="00FE0053">
        <w:rPr>
          <w:rFonts w:ascii="Times New Roman" w:hAnsi="Times New Roman"/>
          <w:sz w:val="28"/>
          <w:szCs w:val="28"/>
        </w:rPr>
        <w:t> 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и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EF490C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Pr="00EF490C" w:rsidRDefault="00225A2B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</w:t>
      </w:r>
      <w:r w:rsidR="00987609"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3A1B80" w:rsidRDefault="003A1B80" w:rsidP="003A1B80">
      <w:pPr>
        <w:pStyle w:val="a9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спрямована на вирішення проблеми нестачі технічних засобів, необхідних  для виконання функцій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комунальних підприємств та на потребу в оновленні матеріальної технічної бази.Значна частина спеціалізованої техніки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знаходиться на бал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ансі комунальних підприємств, 80-90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 випуску, є застарілою та морально 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ошеною, потребує значних коштів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капітальний ремонт.</w:t>
      </w:r>
    </w:p>
    <w:p w:rsidR="003A1B80" w:rsidRPr="005B06A1" w:rsidRDefault="003A1B80" w:rsidP="003A1B8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Програма розвит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 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житлово-ком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унального господарства Смілянської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="00CE0237">
        <w:rPr>
          <w:rFonts w:ascii="Times New Roman" w:hAnsi="Times New Roman" w:cs="Times New Roman"/>
          <w:sz w:val="28"/>
          <w:szCs w:val="28"/>
          <w:lang w:val="uk-UA" w:eastAsia="ru-RU"/>
        </w:rPr>
        <w:t>на 2021-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2025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роки (далі </w:t>
      </w:r>
      <w:r w:rsidR="000808CF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3A1B80" w:rsidRDefault="003A1B80" w:rsidP="00EF374F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 умовах  становлення в Україні ринкових відносин у всіх сферах діяльності та 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однієї з найважливіших соціальних  сфер  насел</w:t>
      </w:r>
      <w:r w:rsidR="00EF37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ених пунктів, які </w:t>
      </w: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формують і визначають рівень життя населе</w:t>
      </w:r>
      <w:r w:rsidR="00EF37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ння, його </w:t>
      </w: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комфортність і надійність.</w:t>
      </w:r>
    </w:p>
    <w:p w:rsidR="00987609" w:rsidRPr="008160AB" w:rsidRDefault="003A1B80" w:rsidP="003A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Стратегічно важливими комунальними підприємствами, що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забезпечують життєдіяльність населеного пункту, надання послуг</w:t>
      </w:r>
      <w:r w:rsidRPr="005B0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галузі житл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ово-комунального господарства є: Смілянське комунальне підприємство «Комунальник», 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Смілянське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комунальне підприємство «Вод</w:t>
      </w:r>
      <w:r w:rsidR="00B24F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 комунальне підприємство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». 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225A2B" w:rsidP="00274223">
      <w:pPr>
        <w:pStyle w:val="1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 і завдання П</w:t>
      </w:r>
      <w:r w:rsidR="00432534" w:rsidRPr="00EF490C">
        <w:rPr>
          <w:b/>
          <w:sz w:val="28"/>
          <w:szCs w:val="28"/>
        </w:rPr>
        <w:t>рограми</w:t>
      </w:r>
    </w:p>
    <w:p w:rsidR="005631BA" w:rsidRDefault="003A1B80" w:rsidP="00563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Програми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є зміцнення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ьно-технічної бази                                 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«Вод</w:t>
      </w:r>
      <w:r w:rsidR="00B24F4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», КП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5631BA" w:rsidRPr="005D5BBD" w:rsidRDefault="005631BA" w:rsidP="0056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CE0237" w:rsidRDefault="00CE0237" w:rsidP="0056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0237" w:rsidRDefault="003A1B80" w:rsidP="0056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технічно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та виробничої потужності щодо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стабільноїроботи комунальних підприємств відповідно до їх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функціональнихпризначень, шляхом придбання спеціалізованої</w:t>
      </w:r>
      <w:r w:rsidR="00CE0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комунальної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</w:t>
      </w:r>
      <w:r w:rsidR="00CE02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2534" w:rsidRPr="00EF374F" w:rsidRDefault="003A1B80" w:rsidP="00CE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E7212">
        <w:rPr>
          <w:rFonts w:ascii="Times New Roman" w:eastAsia="Times New Roman" w:hAnsi="Times New Roman" w:cs="Times New Roman"/>
          <w:sz w:val="28"/>
          <w:szCs w:val="28"/>
          <w:lang w:val="uk-UA"/>
        </w:rPr>
        <w:t>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367AC1" w:rsidRDefault="00367AC1" w:rsidP="00367AC1">
      <w:pPr>
        <w:pStyle w:val="Default"/>
        <w:jc w:val="right"/>
        <w:rPr>
          <w:lang w:val="uk-UA"/>
        </w:rPr>
      </w:pPr>
    </w:p>
    <w:p w:rsidR="00F96A3E" w:rsidRPr="00EF490C" w:rsidRDefault="00FE0053" w:rsidP="000808CF">
      <w:pPr>
        <w:pStyle w:val="Default"/>
        <w:numPr>
          <w:ilvl w:val="0"/>
          <w:numId w:val="8"/>
        </w:numPr>
        <w:jc w:val="center"/>
        <w:rPr>
          <w:b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Обґрунтування</w:t>
      </w:r>
      <w:r w:rsidR="00987609" w:rsidRPr="00EF490C">
        <w:rPr>
          <w:b/>
          <w:bCs/>
          <w:sz w:val="28"/>
          <w:szCs w:val="28"/>
          <w:lang w:val="uk-UA"/>
        </w:rPr>
        <w:t xml:space="preserve"> шляхів і </w:t>
      </w:r>
      <w:r w:rsidR="00F96A3E" w:rsidRPr="00EF490C">
        <w:rPr>
          <w:b/>
          <w:bCs/>
          <w:sz w:val="28"/>
          <w:szCs w:val="28"/>
          <w:lang w:val="uk-UA"/>
        </w:rPr>
        <w:t>засобів розв</w:t>
      </w:r>
      <w:r w:rsidR="000808CF">
        <w:rPr>
          <w:b/>
          <w:bCs/>
          <w:sz w:val="28"/>
          <w:szCs w:val="28"/>
          <w:lang w:val="uk-UA"/>
        </w:rPr>
        <w:t>’</w:t>
      </w:r>
      <w:r w:rsidR="00F96A3E" w:rsidRPr="00EF490C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987609" w:rsidRPr="00EF490C" w:rsidRDefault="00F96A3E" w:rsidP="0027422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716088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підприємствам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«Вод</w:t>
      </w:r>
      <w:r w:rsidR="00B24F4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», КП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 w:rsidR="00BC013D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спрямовуються кошти на придба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спеціалізованої </w:t>
      </w:r>
      <w:r w:rsidR="00BC013D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0808CF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для зміцнення матеріально-технічної бази та покращення санітарного стану та екологічної ситуації території громади. </w:t>
      </w:r>
    </w:p>
    <w:p w:rsidR="00983C47" w:rsidRDefault="001C4E51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7E2">
        <w:rPr>
          <w:rFonts w:ascii="Times New Roman" w:eastAsia="Calibri" w:hAnsi="Times New Roman"/>
          <w:sz w:val="28"/>
          <w:szCs w:val="28"/>
          <w:lang w:val="uk-UA"/>
        </w:rPr>
        <w:t>Придбання спеціалізованої</w:t>
      </w:r>
      <w:r w:rsidR="00BC013D">
        <w:rPr>
          <w:rFonts w:ascii="Times New Roman" w:eastAsia="Calibri" w:hAnsi="Times New Roman"/>
          <w:sz w:val="28"/>
          <w:szCs w:val="28"/>
          <w:lang w:val="uk-UA"/>
        </w:rPr>
        <w:t xml:space="preserve"> комунальної</w:t>
      </w:r>
      <w:r w:rsidR="000808CF" w:rsidRPr="000C47E2">
        <w:rPr>
          <w:rFonts w:ascii="Times New Roman" w:eastAsia="Calibri" w:hAnsi="Times New Roman"/>
          <w:sz w:val="28"/>
          <w:szCs w:val="28"/>
          <w:lang w:val="uk-UA"/>
        </w:rPr>
        <w:t>техніки</w:t>
      </w:r>
      <w:r w:rsidRPr="000C47E2">
        <w:rPr>
          <w:rFonts w:ascii="Times New Roman" w:eastAsia="Calibri" w:hAnsi="Times New Roman"/>
          <w:sz w:val="28"/>
          <w:szCs w:val="28"/>
          <w:lang w:val="uk-UA"/>
        </w:rPr>
        <w:t xml:space="preserve"> для комунальних підприємств (</w:t>
      </w:r>
      <w:proofErr w:type="spellStart"/>
      <w:r w:rsidRPr="000C47E2">
        <w:rPr>
          <w:rFonts w:ascii="Times New Roman" w:eastAsia="Calibri" w:hAnsi="Times New Roman"/>
          <w:sz w:val="28"/>
          <w:szCs w:val="28"/>
          <w:lang w:val="uk-UA"/>
        </w:rPr>
        <w:t>лізингоодержувачів</w:t>
      </w:r>
      <w:proofErr w:type="spellEnd"/>
      <w:r w:rsidRPr="000C47E2">
        <w:rPr>
          <w:rFonts w:ascii="Times New Roman" w:eastAsia="Calibri" w:hAnsi="Times New Roman"/>
          <w:sz w:val="28"/>
          <w:szCs w:val="28"/>
          <w:lang w:val="uk-UA"/>
        </w:rPr>
        <w:t>) здійснюється шляхом оформлення фінансового лізингу.</w:t>
      </w:r>
    </w:p>
    <w:p w:rsidR="003A1B80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сприятиме підвищенню рівня добробуту населення, передусім у сфері благоустрою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 розвитку кому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нального сектору економіки 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</w:t>
      </w:r>
      <w:r>
        <w:rPr>
          <w:rFonts w:ascii="Times New Roman" w:hAnsi="Times New Roman" w:cs="Times New Roman"/>
          <w:sz w:val="28"/>
          <w:szCs w:val="28"/>
          <w:lang w:val="uk-UA"/>
        </w:rPr>
        <w:t>ь стабільно виконувати роботи з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 виконувати роботи щодо усунення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наслідків стихійних лих, погодних катаклізмів, зменшити ручну працю.</w:t>
      </w:r>
    </w:p>
    <w:p w:rsidR="00521B26" w:rsidRPr="00EF374F" w:rsidRDefault="00716088" w:rsidP="00EF374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088">
        <w:rPr>
          <w:rFonts w:ascii="Times New Roman" w:hAnsi="Times New Roman" w:cs="Times New Roman"/>
          <w:sz w:val="28"/>
          <w:szCs w:val="28"/>
          <w:lang w:val="uk-UA"/>
        </w:rPr>
        <w:t>Заходи з реалізації Програми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4"/>
        <w:gridCol w:w="1974"/>
        <w:gridCol w:w="1418"/>
        <w:gridCol w:w="1275"/>
        <w:gridCol w:w="2410"/>
        <w:gridCol w:w="2268"/>
      </w:tblGrid>
      <w:tr w:rsidR="00716088" w:rsidRPr="00622E41" w:rsidTr="00EF374F">
        <w:tc>
          <w:tcPr>
            <w:tcW w:w="544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74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2E4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418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275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410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2268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16088" w:rsidRPr="00622E41" w:rsidTr="00EF374F">
        <w:tc>
          <w:tcPr>
            <w:tcW w:w="544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4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418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підтримки</w:t>
            </w:r>
          </w:p>
        </w:tc>
        <w:tc>
          <w:tcPr>
            <w:tcW w:w="1275" w:type="dxa"/>
          </w:tcPr>
          <w:p w:rsidR="000C47E2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</w:p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</w:tcPr>
          <w:p w:rsidR="00716088" w:rsidRPr="00521B26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спеціалізованої</w:t>
            </w:r>
            <w:r w:rsidR="00BC0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</w:t>
            </w:r>
            <w:r w:rsidR="00080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техніки</w:t>
            </w: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C15E5" w:rsidRPr="00642E9D" w:rsidRDefault="00716088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для утримання та ремонту міських доріг, тротуарів, з метою оперативного і якісного виконання робіт з благоустрою </w:t>
            </w:r>
            <w:r w:rsidR="00EC1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 міста;</w:t>
            </w:r>
          </w:p>
        </w:tc>
        <w:tc>
          <w:tcPr>
            <w:tcW w:w="2268" w:type="dxa"/>
          </w:tcPr>
          <w:p w:rsidR="00716088" w:rsidRPr="00622E41" w:rsidRDefault="00642E9D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  <w:r w:rsidR="00716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кошти не заборонені законодавством</w:t>
            </w:r>
          </w:p>
        </w:tc>
      </w:tr>
      <w:tr w:rsidR="006E1379" w:rsidRPr="00B24F49" w:rsidTr="00EF374F">
        <w:tc>
          <w:tcPr>
            <w:tcW w:w="544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4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спеціалізованої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техніки (автогрейдер)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Смілянського комунального підприємства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«Комунальник»</w:t>
            </w:r>
          </w:p>
        </w:tc>
        <w:tc>
          <w:tcPr>
            <w:tcW w:w="1418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фінансо-вого</w:t>
            </w:r>
            <w:proofErr w:type="spellEnd"/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лізингу</w:t>
            </w:r>
          </w:p>
        </w:tc>
        <w:tc>
          <w:tcPr>
            <w:tcW w:w="1275" w:type="dxa"/>
            <w:vMerge w:val="restart"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-2023 </w:t>
            </w:r>
          </w:p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проведення робіт з  утримання міських територій та ремонту міських доріг </w:t>
            </w:r>
          </w:p>
        </w:tc>
        <w:tc>
          <w:tcPr>
            <w:tcW w:w="2268" w:type="dxa"/>
          </w:tcPr>
          <w:p w:rsidR="006E1379" w:rsidRDefault="006E1379" w:rsidP="000C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2021 календарний рік: 1450000,00 грн. в тому числі: Державний бюджет - 656480,00 грн.;  (розпорядження КМУ від 13.12.2021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№ 1643-р) </w:t>
            </w:r>
          </w:p>
          <w:p w:rsidR="006E1379" w:rsidRPr="000C47E2" w:rsidRDefault="006E1379" w:rsidP="006E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793520,00 грн.</w:t>
            </w:r>
          </w:p>
        </w:tc>
      </w:tr>
      <w:tr w:rsidR="006E1379" w:rsidRPr="00EC15E5" w:rsidTr="00EF374F">
        <w:tc>
          <w:tcPr>
            <w:tcW w:w="54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E1379" w:rsidRDefault="006E1379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2022 календарний 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1300000,00грн.;</w:t>
            </w:r>
          </w:p>
        </w:tc>
      </w:tr>
      <w:tr w:rsidR="006E1379" w:rsidRPr="00EC15E5" w:rsidTr="00EF374F">
        <w:tc>
          <w:tcPr>
            <w:tcW w:w="54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E1379" w:rsidRDefault="006E1379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2023 календарний 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12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00000,00грн.;</w:t>
            </w:r>
          </w:p>
        </w:tc>
      </w:tr>
    </w:tbl>
    <w:p w:rsidR="00D54171" w:rsidRPr="00D54171" w:rsidRDefault="00D54171" w:rsidP="00D54171">
      <w:pPr>
        <w:pStyle w:val="a9"/>
        <w:ind w:firstLine="851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21B26" w:rsidRDefault="00716088" w:rsidP="005D5BB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 надасть можливість ефективного</w:t>
      </w: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комунального майна, збільшення технічної потужності комунальних підприємств, за рахунок придбання спеціалізованої </w:t>
      </w:r>
      <w:r w:rsidR="005C6B7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BF56FF">
        <w:rPr>
          <w:rFonts w:ascii="Times New Roman" w:hAnsi="Times New Roman" w:cs="Times New Roman"/>
          <w:sz w:val="28"/>
          <w:szCs w:val="28"/>
          <w:lang w:val="uk-UA"/>
        </w:rPr>
        <w:t>техніки:</w:t>
      </w:r>
    </w:p>
    <w:p w:rsidR="00CE0237" w:rsidRDefault="00CE0237" w:rsidP="005D5BB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18"/>
        <w:gridCol w:w="2992"/>
        <w:gridCol w:w="4111"/>
        <w:gridCol w:w="1985"/>
      </w:tblGrid>
      <w:tr w:rsidR="00642E9D" w:rsidRPr="00642E9D" w:rsidTr="00AC454C">
        <w:tc>
          <w:tcPr>
            <w:tcW w:w="518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92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="00B24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техніки</w:t>
            </w:r>
            <w:proofErr w:type="spellEnd"/>
          </w:p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985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комплект, грн.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Автогрейдер </w:t>
            </w:r>
          </w:p>
        </w:tc>
        <w:tc>
          <w:tcPr>
            <w:tcW w:w="4111" w:type="dxa"/>
            <w:hideMark/>
          </w:tcPr>
          <w:p w:rsidR="005C6B75" w:rsidRPr="00642E9D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130кВт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- 15 000 кг;</w:t>
            </w:r>
          </w:p>
          <w:p w:rsidR="00642E9D" w:rsidRPr="005C6B75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 зусилля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3 400 000,00</w:t>
            </w:r>
          </w:p>
        </w:tc>
      </w:tr>
      <w:tr w:rsidR="005631BA" w:rsidRPr="00642E9D" w:rsidTr="00AC454C">
        <w:tc>
          <w:tcPr>
            <w:tcW w:w="518" w:type="dxa"/>
          </w:tcPr>
          <w:p w:rsidR="005631BA" w:rsidRPr="005631BA" w:rsidRDefault="005631BA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992" w:type="dxa"/>
          </w:tcPr>
          <w:p w:rsidR="005631BA" w:rsidRPr="00642E9D" w:rsidRDefault="005631BA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Бульдозер</w:t>
            </w:r>
          </w:p>
        </w:tc>
        <w:tc>
          <w:tcPr>
            <w:tcW w:w="4111" w:type="dxa"/>
          </w:tcPr>
          <w:p w:rsidR="005C6B75" w:rsidRPr="005C6B75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двигуна</w:t>
            </w:r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менше 184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5C6B75" w:rsidRPr="00642E9D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ксплуатаційна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кг;</w:t>
            </w:r>
          </w:p>
          <w:p w:rsidR="005631BA" w:rsidRDefault="005C6B75" w:rsidP="005C6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 зусилля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146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  <w:p w:rsidR="005C6B75" w:rsidRPr="005C6B75" w:rsidRDefault="005C6B75" w:rsidP="005C6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 відвалу не менше 4,5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985" w:type="dxa"/>
          </w:tcPr>
          <w:p w:rsidR="005631BA" w:rsidRPr="005C6B75" w:rsidRDefault="005C6B75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3 700 000,00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5631BA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Самоскид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- 20500 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E9D" w:rsidRPr="00642E9D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 не </w:t>
            </w:r>
            <w:proofErr w:type="spellStart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- 8м³ 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 - ЄВРО-5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5631BA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Default="00642E9D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Мінінавантажувач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013D" w:rsidRPr="00BC013D" w:rsidRDefault="00BC013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вантажопідємність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 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ксимальна </w:t>
            </w:r>
            <w:proofErr w:type="spellStart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об/</w:t>
            </w:r>
            <w:proofErr w:type="spellStart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к.с.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5631BA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B24F49" w:rsidRDefault="00642E9D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Фронтальний</w:t>
            </w:r>
            <w:proofErr w:type="spellEnd"/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навантажувач</w:t>
            </w:r>
            <w:proofErr w:type="spellEnd"/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5000кг.</w:t>
            </w:r>
          </w:p>
          <w:p w:rsidR="00642E9D" w:rsidRPr="00642E9D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 не </w:t>
            </w:r>
            <w:proofErr w:type="spellStart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3м³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к.с.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2 100 000,00</w:t>
            </w:r>
          </w:p>
        </w:tc>
      </w:tr>
      <w:tr w:rsidR="006E1379" w:rsidRPr="00642E9D" w:rsidTr="00F375DB">
        <w:tc>
          <w:tcPr>
            <w:tcW w:w="9606" w:type="dxa"/>
            <w:gridSpan w:val="4"/>
          </w:tcPr>
          <w:p w:rsidR="006E1379" w:rsidRDefault="006E1379" w:rsidP="006E1379">
            <w:pPr>
              <w:pStyle w:val="a9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54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родовження додатку</w:t>
            </w:r>
          </w:p>
          <w:p w:rsidR="006E1379" w:rsidRPr="00642E9D" w:rsidRDefault="006E1379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5631BA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Екскаватор-навантажувач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двигуна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10 100кг.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Глибина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копання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- 5 800 мм;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Об’єм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переднього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ковша: 1,3 м3.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3 100 000,00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D54171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Манипулятор -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навантажувач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586EBC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440 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.с.; </w:t>
            </w:r>
            <w:proofErr w:type="spellStart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Колісна</w:t>
            </w:r>
            <w:proofErr w:type="spellEnd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формула – 6х2;</w:t>
            </w:r>
          </w:p>
          <w:p w:rsidR="00642E9D" w:rsidRPr="00642E9D" w:rsidRDefault="00586EBC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26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кг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Вантажопідйонпість</w:t>
            </w:r>
            <w:proofErr w:type="spellEnd"/>
            <w:r w:rsidR="00586E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58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кг;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ССУ 1350 кг.</w:t>
            </w:r>
          </w:p>
          <w:p w:rsidR="00642E9D" w:rsidRPr="00642E9D" w:rsidRDefault="00642E9D" w:rsidP="00AC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</w:t>
            </w:r>
            <w:proofErr w:type="spellEnd"/>
            <w:r w:rsidR="00B24F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платформи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7.10/2.48/1.00</w:t>
            </w:r>
          </w:p>
        </w:tc>
        <w:tc>
          <w:tcPr>
            <w:tcW w:w="1985" w:type="dxa"/>
            <w:hideMark/>
          </w:tcPr>
          <w:p w:rsidR="00642E9D" w:rsidRPr="00642E9D" w:rsidRDefault="006E1379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2 750 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00, 00 </w:t>
            </w:r>
          </w:p>
        </w:tc>
      </w:tr>
    </w:tbl>
    <w:p w:rsidR="003A1B80" w:rsidRPr="004A10BB" w:rsidRDefault="003A1B80" w:rsidP="003A1B8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88" w:rsidRPr="005D5BBD" w:rsidRDefault="003A1B80" w:rsidP="006E1379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Фінансування заходів Програми в процесі їх реалізації здійснюється за рахунок коштів</w:t>
      </w:r>
      <w:r w:rsidR="00642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бюджету</w:t>
      </w:r>
      <w:r w:rsidR="00B24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2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Смілянської 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 (в межах коштів, передбачених на відповідний фінансовий рік), коштів обласного, державного бюджетів, залучених коштів міжнародних організацій, вкладів вітчи</w:t>
      </w:r>
      <w:r w:rsidR="00983C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зняних та іноземних інвесторів, </w:t>
      </w:r>
      <w:r w:rsidR="00983C47"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фінансових </w:t>
      </w:r>
      <w:proofErr w:type="spellStart"/>
      <w:r w:rsidR="00983C47"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лізингів</w:t>
      </w:r>
      <w:proofErr w:type="spellEnd"/>
      <w:r w:rsidR="00983C47"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B24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інших джерел фінансування, не заборонени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чинним законодавством України,</w:t>
      </w:r>
      <w:r w:rsidR="00CD47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також шляхом поповнення статутного капіталу комунальних підприємств,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через головного </w:t>
      </w:r>
      <w:r w:rsidR="00CE0237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розпорядника бюджетних коштів -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виконавчого комі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тету</w:t>
      </w:r>
      <w:r w:rsidR="00B24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F9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</w:t>
      </w:r>
      <w:r w:rsidR="00432534">
        <w:rPr>
          <w:rFonts w:ascii="Times New Roman" w:hAnsi="Times New Roman" w:cs="Times New Roman"/>
          <w:sz w:val="28"/>
          <w:szCs w:val="28"/>
          <w:lang w:val="uk-UA"/>
        </w:rPr>
        <w:t>міської ради за</w:t>
      </w:r>
      <w:r w:rsidR="00B24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>відповідними кодами програмної класифікації видатків та кредитування місцеви</w:t>
      </w:r>
      <w:r w:rsidR="00CD47F9">
        <w:rPr>
          <w:rFonts w:ascii="Times New Roman" w:hAnsi="Times New Roman" w:cs="Times New Roman"/>
          <w:sz w:val="28"/>
          <w:szCs w:val="28"/>
          <w:lang w:val="uk-UA"/>
        </w:rPr>
        <w:t>х бюджетів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0C47E2" w:rsidRDefault="001C4E51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погашення боргу комунальних підприємств по фінансовому лізингу передбачити кошти в бюджеті Смілянської міської територіальної громади.</w:t>
      </w:r>
    </w:p>
    <w:p w:rsidR="003A1B80" w:rsidRPr="00716088" w:rsidRDefault="003A1B80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65E">
        <w:rPr>
          <w:rFonts w:ascii="Roboto Condensed" w:eastAsia="Calibri" w:hAnsi="Roboto Condensed" w:cs="Times New Roman"/>
          <w:sz w:val="28"/>
          <w:szCs w:val="28"/>
          <w:lang w:val="uk-UA"/>
        </w:rPr>
        <w:t xml:space="preserve">У ході реалізації заходів Програми можливі корегування, зміни, уточнення, доповнення пов’язані з фактичним надходженням коштів на реалізацію </w:t>
      </w:r>
      <w:r>
        <w:rPr>
          <w:rFonts w:ascii="Roboto Condensed" w:eastAsia="Calibri" w:hAnsi="Roboto Condensed" w:cs="Times New Roman"/>
          <w:sz w:val="28"/>
          <w:szCs w:val="28"/>
          <w:lang w:val="uk-UA"/>
        </w:rPr>
        <w:t>заходів Програми.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</w:t>
      </w:r>
      <w:r w:rsidR="00225A2B">
        <w:rPr>
          <w:rFonts w:ascii="Times New Roman" w:hAnsi="Times New Roman" w:cs="Times New Roman"/>
          <w:b/>
          <w:sz w:val="28"/>
          <w:szCs w:val="28"/>
          <w:lang w:val="uk-UA"/>
        </w:rPr>
        <w:t>сті, перелік завдань і заходів П</w:t>
      </w: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рограми,</w:t>
      </w:r>
    </w:p>
    <w:p w:rsidR="00FE0053" w:rsidRPr="00EF490C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</w:t>
      </w:r>
      <w:r w:rsidR="00730444" w:rsidRPr="00EF490C">
        <w:rPr>
          <w:rFonts w:ascii="Times New Roman" w:hAnsi="Times New Roman" w:cs="Times New Roman"/>
          <w:b/>
          <w:sz w:val="28"/>
          <w:szCs w:val="28"/>
          <w:lang w:val="uk-UA"/>
        </w:rPr>
        <w:t>, використання коштів</w:t>
      </w: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69732A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32A"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90C">
        <w:rPr>
          <w:sz w:val="28"/>
          <w:szCs w:val="28"/>
        </w:rPr>
        <w:t>створення</w:t>
      </w:r>
      <w:r w:rsidR="00F22F56">
        <w:rPr>
          <w:sz w:val="28"/>
          <w:szCs w:val="28"/>
        </w:rPr>
        <w:t xml:space="preserve"> умов для стабільної і </w:t>
      </w:r>
      <w:r w:rsidR="0069732A">
        <w:rPr>
          <w:sz w:val="28"/>
          <w:szCs w:val="28"/>
        </w:rPr>
        <w:t>беззбиткової роботи підприємств</w:t>
      </w:r>
      <w:r w:rsidR="00F22F56">
        <w:rPr>
          <w:sz w:val="28"/>
          <w:szCs w:val="28"/>
        </w:rPr>
        <w:t xml:space="preserve"> при здійсненні </w:t>
      </w:r>
      <w:r w:rsidR="00CD47F9">
        <w:rPr>
          <w:sz w:val="28"/>
          <w:szCs w:val="28"/>
        </w:rPr>
        <w:t>своєї господарської діяльності;</w:t>
      </w:r>
    </w:p>
    <w:p w:rsidR="00CD47F9" w:rsidRDefault="00CD47F9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покращення якості комунальних послуг, збільшення послуг з утримання доріг, вулиць міста;</w:t>
      </w:r>
    </w:p>
    <w:p w:rsidR="00CD47F9" w:rsidRPr="005A1594" w:rsidRDefault="00CD47F9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економія матеріальних витрат.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Pr="008B23AA" w:rsidRDefault="00575AB8" w:rsidP="0056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3AA">
        <w:rPr>
          <w:rFonts w:ascii="Times New Roman" w:hAnsi="Times New Roman"/>
          <w:b/>
          <w:sz w:val="28"/>
          <w:szCs w:val="28"/>
          <w:lang w:val="uk-UA"/>
        </w:rPr>
        <w:t>6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 xml:space="preserve">. Координація </w:t>
      </w:r>
      <w:r w:rsidR="00225A2B">
        <w:rPr>
          <w:rFonts w:ascii="Times New Roman" w:hAnsi="Times New Roman"/>
          <w:b/>
          <w:sz w:val="28"/>
          <w:szCs w:val="28"/>
          <w:lang w:val="uk-UA"/>
        </w:rPr>
        <w:t>та контроль за ходом виконання П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367AC1" w:rsidRPr="0069732A" w:rsidRDefault="00B115B4" w:rsidP="00563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</w:t>
      </w:r>
      <w:r w:rsidR="00080FF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206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78DF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ради. </w:t>
      </w:r>
    </w:p>
    <w:p w:rsidR="00B115B4" w:rsidRDefault="0069732A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="00B24F4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виконав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надають</w:t>
      </w:r>
      <w:r w:rsidR="00B115B4">
        <w:rPr>
          <w:rFonts w:ascii="Times New Roman" w:hAnsi="Times New Roman"/>
          <w:sz w:val="28"/>
          <w:szCs w:val="28"/>
          <w:lang w:val="uk-UA"/>
        </w:rPr>
        <w:t xml:space="preserve">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AE494B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1B26" w:rsidRDefault="00521B26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Pr="005A1594" w:rsidRDefault="006E1379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237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60EB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5B78DF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CE0237" w:rsidRDefault="00CE0237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237" w:rsidRDefault="00CE0237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237" w:rsidRDefault="00CE0237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237" w:rsidRDefault="00CE0237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171" w:rsidRDefault="00D54171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171" w:rsidRDefault="00D54171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609F" w:rsidRPr="005631BA" w:rsidRDefault="005631BA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Євген</w:t>
      </w:r>
      <w:r w:rsidR="00143F3E">
        <w:rPr>
          <w:rFonts w:ascii="Times New Roman" w:hAnsi="Times New Roman" w:cs="Times New Roman"/>
          <w:lang w:val="uk-UA"/>
        </w:rPr>
        <w:t>ій</w:t>
      </w:r>
      <w:r>
        <w:rPr>
          <w:rFonts w:ascii="Times New Roman" w:hAnsi="Times New Roman" w:cs="Times New Roman"/>
          <w:lang w:val="uk-UA"/>
        </w:rPr>
        <w:t xml:space="preserve"> АВРАМЕНКО</w:t>
      </w: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B115B4" w:rsidSect="00367AC1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E3F"/>
    <w:multiLevelType w:val="hybridMultilevel"/>
    <w:tmpl w:val="39D8782A"/>
    <w:lvl w:ilvl="0" w:tplc="EE5CD94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10" w15:restartNumberingAfterBreak="0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32534"/>
    <w:rsid w:val="0002766A"/>
    <w:rsid w:val="00063092"/>
    <w:rsid w:val="000808CF"/>
    <w:rsid w:val="00080FF6"/>
    <w:rsid w:val="000C47E2"/>
    <w:rsid w:val="000D2E1D"/>
    <w:rsid w:val="000E55E0"/>
    <w:rsid w:val="00107814"/>
    <w:rsid w:val="00137D89"/>
    <w:rsid w:val="00143F3E"/>
    <w:rsid w:val="00161A98"/>
    <w:rsid w:val="001808D9"/>
    <w:rsid w:val="001A3D07"/>
    <w:rsid w:val="001C4E51"/>
    <w:rsid w:val="001E2115"/>
    <w:rsid w:val="001F0FEA"/>
    <w:rsid w:val="001F7056"/>
    <w:rsid w:val="002060EB"/>
    <w:rsid w:val="00214BFB"/>
    <w:rsid w:val="002162A5"/>
    <w:rsid w:val="00225A2B"/>
    <w:rsid w:val="00271840"/>
    <w:rsid w:val="00273ECB"/>
    <w:rsid w:val="00274223"/>
    <w:rsid w:val="00277EE2"/>
    <w:rsid w:val="002C5ED0"/>
    <w:rsid w:val="002E0B17"/>
    <w:rsid w:val="002E620C"/>
    <w:rsid w:val="002F1362"/>
    <w:rsid w:val="0033365E"/>
    <w:rsid w:val="00361A0E"/>
    <w:rsid w:val="00365176"/>
    <w:rsid w:val="00367AC1"/>
    <w:rsid w:val="003A1B80"/>
    <w:rsid w:val="003A46CA"/>
    <w:rsid w:val="004020F2"/>
    <w:rsid w:val="0041538E"/>
    <w:rsid w:val="00432534"/>
    <w:rsid w:val="00466CFA"/>
    <w:rsid w:val="00470CA6"/>
    <w:rsid w:val="004C76B1"/>
    <w:rsid w:val="004E0040"/>
    <w:rsid w:val="004E5A08"/>
    <w:rsid w:val="00503E36"/>
    <w:rsid w:val="00505E74"/>
    <w:rsid w:val="005071FB"/>
    <w:rsid w:val="00521B26"/>
    <w:rsid w:val="005423D5"/>
    <w:rsid w:val="00550009"/>
    <w:rsid w:val="00557A1E"/>
    <w:rsid w:val="00562077"/>
    <w:rsid w:val="005631BA"/>
    <w:rsid w:val="00575AB8"/>
    <w:rsid w:val="00576EB3"/>
    <w:rsid w:val="00580801"/>
    <w:rsid w:val="00586EBC"/>
    <w:rsid w:val="005B78DF"/>
    <w:rsid w:val="005C585A"/>
    <w:rsid w:val="005C6B75"/>
    <w:rsid w:val="005D0F64"/>
    <w:rsid w:val="005D5BBD"/>
    <w:rsid w:val="005E37DB"/>
    <w:rsid w:val="005E7F7C"/>
    <w:rsid w:val="00601A8A"/>
    <w:rsid w:val="00611091"/>
    <w:rsid w:val="00637617"/>
    <w:rsid w:val="00642E9D"/>
    <w:rsid w:val="00645541"/>
    <w:rsid w:val="00686E93"/>
    <w:rsid w:val="0069732A"/>
    <w:rsid w:val="006C06B2"/>
    <w:rsid w:val="006E1379"/>
    <w:rsid w:val="006E3934"/>
    <w:rsid w:val="006E6FCB"/>
    <w:rsid w:val="006F12A1"/>
    <w:rsid w:val="006F1DD5"/>
    <w:rsid w:val="00715B49"/>
    <w:rsid w:val="00716088"/>
    <w:rsid w:val="007237C6"/>
    <w:rsid w:val="00726E6F"/>
    <w:rsid w:val="0072775E"/>
    <w:rsid w:val="00730444"/>
    <w:rsid w:val="00763683"/>
    <w:rsid w:val="00784D7A"/>
    <w:rsid w:val="00791DDD"/>
    <w:rsid w:val="00796D6D"/>
    <w:rsid w:val="007971E8"/>
    <w:rsid w:val="007A723E"/>
    <w:rsid w:val="007B2C5C"/>
    <w:rsid w:val="007E3EFA"/>
    <w:rsid w:val="00804DBE"/>
    <w:rsid w:val="008160AB"/>
    <w:rsid w:val="00816104"/>
    <w:rsid w:val="00891383"/>
    <w:rsid w:val="008B23AA"/>
    <w:rsid w:val="008E15B2"/>
    <w:rsid w:val="008E1E39"/>
    <w:rsid w:val="008E5028"/>
    <w:rsid w:val="00940839"/>
    <w:rsid w:val="00960BC6"/>
    <w:rsid w:val="009710A5"/>
    <w:rsid w:val="00983C47"/>
    <w:rsid w:val="00987609"/>
    <w:rsid w:val="00991ABF"/>
    <w:rsid w:val="00995806"/>
    <w:rsid w:val="009D6396"/>
    <w:rsid w:val="00A2263F"/>
    <w:rsid w:val="00A23A47"/>
    <w:rsid w:val="00A32C26"/>
    <w:rsid w:val="00A37579"/>
    <w:rsid w:val="00A4274C"/>
    <w:rsid w:val="00A5072D"/>
    <w:rsid w:val="00A85325"/>
    <w:rsid w:val="00A86D3F"/>
    <w:rsid w:val="00A92A24"/>
    <w:rsid w:val="00A93645"/>
    <w:rsid w:val="00AC454C"/>
    <w:rsid w:val="00AD3227"/>
    <w:rsid w:val="00AD7A55"/>
    <w:rsid w:val="00AE494B"/>
    <w:rsid w:val="00AE7024"/>
    <w:rsid w:val="00AF2227"/>
    <w:rsid w:val="00AF697E"/>
    <w:rsid w:val="00B115B4"/>
    <w:rsid w:val="00B24F49"/>
    <w:rsid w:val="00B24FD8"/>
    <w:rsid w:val="00B4609F"/>
    <w:rsid w:val="00B96070"/>
    <w:rsid w:val="00BA44C7"/>
    <w:rsid w:val="00BC013D"/>
    <w:rsid w:val="00BC5135"/>
    <w:rsid w:val="00BE2C2A"/>
    <w:rsid w:val="00BE4DD7"/>
    <w:rsid w:val="00BE79EB"/>
    <w:rsid w:val="00C15978"/>
    <w:rsid w:val="00C46DA1"/>
    <w:rsid w:val="00C77D30"/>
    <w:rsid w:val="00C86090"/>
    <w:rsid w:val="00C951AA"/>
    <w:rsid w:val="00C962AA"/>
    <w:rsid w:val="00CA66B8"/>
    <w:rsid w:val="00CD2D94"/>
    <w:rsid w:val="00CD47F9"/>
    <w:rsid w:val="00CE0237"/>
    <w:rsid w:val="00D24BA6"/>
    <w:rsid w:val="00D4577A"/>
    <w:rsid w:val="00D54171"/>
    <w:rsid w:val="00D80289"/>
    <w:rsid w:val="00D81257"/>
    <w:rsid w:val="00D934F9"/>
    <w:rsid w:val="00DA47F6"/>
    <w:rsid w:val="00DB7599"/>
    <w:rsid w:val="00DD4E3A"/>
    <w:rsid w:val="00DF2ABF"/>
    <w:rsid w:val="00DF7FB0"/>
    <w:rsid w:val="00E0075E"/>
    <w:rsid w:val="00E25366"/>
    <w:rsid w:val="00E37471"/>
    <w:rsid w:val="00E50258"/>
    <w:rsid w:val="00E628F6"/>
    <w:rsid w:val="00E92C8F"/>
    <w:rsid w:val="00EA5FC9"/>
    <w:rsid w:val="00EB300B"/>
    <w:rsid w:val="00EC15E5"/>
    <w:rsid w:val="00EE36C0"/>
    <w:rsid w:val="00EE5185"/>
    <w:rsid w:val="00EF374F"/>
    <w:rsid w:val="00EF490C"/>
    <w:rsid w:val="00F22F56"/>
    <w:rsid w:val="00F30A18"/>
    <w:rsid w:val="00F311E7"/>
    <w:rsid w:val="00F42870"/>
    <w:rsid w:val="00F74734"/>
    <w:rsid w:val="00F759EE"/>
    <w:rsid w:val="00F86E7B"/>
    <w:rsid w:val="00F96A3E"/>
    <w:rsid w:val="00FA7630"/>
    <w:rsid w:val="00FC1F36"/>
    <w:rsid w:val="00FE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606661D0-4700-462A-BC21-40633F1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  <w:style w:type="paragraph" w:styleId="a9">
    <w:name w:val="No Spacing"/>
    <w:uiPriority w:val="1"/>
    <w:qFormat/>
    <w:rsid w:val="003A1B80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3A1B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CF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10"/>
    <w:qFormat/>
    <w:rsid w:val="00B24F49"/>
    <w:pPr>
      <w:spacing w:after="0" w:line="240" w:lineRule="auto"/>
      <w:jc w:val="center"/>
    </w:pPr>
    <w:rPr>
      <w:rFonts w:ascii="Antiqua" w:eastAsia="Times New Roman" w:hAnsi="Antiqua" w:cs="Antiqua"/>
      <w:b/>
      <w:bCs/>
      <w:sz w:val="28"/>
      <w:szCs w:val="28"/>
      <w:lang w:val="uk-UA" w:eastAsia="uk-UA"/>
    </w:rPr>
  </w:style>
  <w:style w:type="character" w:customStyle="1" w:styleId="ae">
    <w:name w:val="Название Знак"/>
    <w:basedOn w:val="a0"/>
    <w:uiPriority w:val="10"/>
    <w:rsid w:val="00B2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link w:val="ad"/>
    <w:locked/>
    <w:rsid w:val="00B24F49"/>
    <w:rPr>
      <w:rFonts w:ascii="Antiqua" w:eastAsia="Times New Roman" w:hAnsi="Antiqua" w:cs="Antiqua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B081-A0ED-439A-B5EE-E2050CF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30</cp:revision>
  <cp:lastPrinted>2021-12-15T09:12:00Z</cp:lastPrinted>
  <dcterms:created xsi:type="dcterms:W3CDTF">2021-12-08T09:53:00Z</dcterms:created>
  <dcterms:modified xsi:type="dcterms:W3CDTF">2021-12-21T10:30:00Z</dcterms:modified>
</cp:coreProperties>
</file>