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  <w:gridCol w:w="10388"/>
      </w:tblGrid>
      <w:tr w:rsidR="00592793" w:rsidRPr="009F4432" w:rsidTr="00592793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1A306B" w:rsidRDefault="00592793" w:rsidP="00592793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noProof/>
                <w:lang w:val="ru-RU"/>
              </w:rPr>
            </w:r>
            <w:r w:rsidRPr="00E41189"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54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56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57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58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59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60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61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62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63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64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65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66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67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592793" w:rsidRPr="001A306B" w:rsidRDefault="00592793" w:rsidP="00592793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592793" w:rsidRPr="00235B8C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ru-RU"/>
              </w:rPr>
              <w:t xml:space="preserve">    </w:t>
            </w:r>
            <w:r w:rsidR="00F62EF0">
              <w:rPr>
                <w:rFonts w:ascii="Times New Roman" w:hAnsi="Times New Roman" w:cs="Times New Roman"/>
                <w:bCs w:val="0"/>
                <w:lang w:val="en-US"/>
              </w:rPr>
              <w:t xml:space="preserve">LVIII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92793" w:rsidRPr="001978BD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592793" w:rsidRPr="00C4264F" w:rsidRDefault="00592793" w:rsidP="00592793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</w:rPr>
            </w:pPr>
          </w:p>
        </w:tc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C4264F" w:rsidRDefault="00592793" w:rsidP="0031515D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</w:rPr>
            </w:pPr>
          </w:p>
        </w:tc>
      </w:tr>
    </w:tbl>
    <w:p w:rsidR="00E41189" w:rsidRPr="00F62EF0" w:rsidRDefault="00F62EF0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22.02.2023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val="en-US"/>
        </w:rPr>
        <w:t>58-4/VIII</w:t>
      </w:r>
    </w:p>
    <w:p w:rsidR="00E41189" w:rsidRPr="0031515D" w:rsidRDefault="00E41189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43F7C" w:rsidRPr="00297761" w:rsidTr="00243F7C">
        <w:trPr>
          <w:trHeight w:val="2230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3077F6" w:rsidRDefault="00243F7C" w:rsidP="00243F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92479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затвердження звіту п</w:t>
            </w:r>
            <w:r w:rsidR="0000336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</w:t>
            </w:r>
            <w:r w:rsidR="0092479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6E0AB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виконанн</w:t>
            </w:r>
            <w:r w:rsidR="0000336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я</w:t>
            </w:r>
            <w:r w:rsidR="006E0AB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3077F6" w:rsidRDefault="00243F7C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 w:rsidR="006E0AB6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рограм</w:t>
            </w:r>
            <w:r w:rsidR="006E0AB6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3077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розвитку, підтримки </w:t>
            </w:r>
          </w:p>
          <w:p w:rsidR="003077F6" w:rsidRDefault="003077F6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надання медичних послуг понад обсяг, </w:t>
            </w:r>
          </w:p>
          <w:p w:rsidR="003077F6" w:rsidRDefault="003077F6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передбачений програмою державних </w:t>
            </w:r>
          </w:p>
          <w:p w:rsidR="009C649B" w:rsidRDefault="003077F6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гарантій медичного обслуговування населення,</w:t>
            </w:r>
          </w:p>
          <w:p w:rsidR="009C649B" w:rsidRDefault="00243F7C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комунального некомерційного підприємства </w:t>
            </w:r>
          </w:p>
          <w:p w:rsidR="009C649B" w:rsidRDefault="00243F7C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216F28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міська стоматологічна поліклініка</w:t>
            </w: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  <w:p w:rsidR="00243F7C" w:rsidRPr="00297761" w:rsidRDefault="00243F7C" w:rsidP="009C6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Смілянської міської ради</w:t>
            </w:r>
            <w:r w:rsidR="00595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077F6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BB28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 w:rsidR="009C649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9C5A4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C64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243F7C" w:rsidRPr="003327C7" w:rsidRDefault="00243F7C" w:rsidP="00243F7C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</w:rPr>
            </w:pPr>
          </w:p>
        </w:tc>
      </w:tr>
    </w:tbl>
    <w:p w:rsidR="009C649B" w:rsidRDefault="00243F7C" w:rsidP="009C64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F62EF0">
        <w:rPr>
          <w:rFonts w:ascii="Times New Roman" w:hAnsi="Times New Roman"/>
          <w:sz w:val="28"/>
          <w:szCs w:val="28"/>
          <w:lang w:val="uk-UA"/>
        </w:rPr>
        <w:t>до ст. 25,</w:t>
      </w:r>
      <w:r w:rsidR="00C325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2EF0">
        <w:rPr>
          <w:rFonts w:ascii="Times New Roman" w:hAnsi="Times New Roman"/>
          <w:sz w:val="28"/>
          <w:szCs w:val="28"/>
          <w:lang w:val="uk-UA"/>
        </w:rPr>
        <w:t>п. 3 ч.</w:t>
      </w:r>
      <w:r w:rsidR="003E3F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51D">
        <w:rPr>
          <w:rFonts w:ascii="Times New Roman" w:hAnsi="Times New Roman"/>
          <w:sz w:val="28"/>
          <w:szCs w:val="28"/>
          <w:lang w:val="uk-UA"/>
        </w:rPr>
        <w:t xml:space="preserve">4 ст. 42, ч. 1 ст. 59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Закону України від 21.05.1997 № 280/97–ВР «Про місцеве самоврядування в Україні», </w:t>
      </w:r>
      <w:r w:rsidR="00E80A32">
        <w:rPr>
          <w:rFonts w:ascii="Times New Roman" w:hAnsi="Times New Roman"/>
          <w:sz w:val="28"/>
          <w:szCs w:val="28"/>
          <w:lang w:val="uk-UA"/>
        </w:rPr>
        <w:t>рішення міської ради</w:t>
      </w:r>
      <w:r w:rsidR="0005118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C5A49">
        <w:rPr>
          <w:rFonts w:ascii="Times New Roman" w:hAnsi="Times New Roman"/>
          <w:sz w:val="28"/>
          <w:szCs w:val="28"/>
          <w:lang w:val="uk-UA"/>
        </w:rPr>
        <w:t>24.06.2021 № 17-54/</w:t>
      </w:r>
      <w:r w:rsidR="009C5A49">
        <w:rPr>
          <w:rFonts w:ascii="Times New Roman" w:hAnsi="Times New Roman"/>
          <w:sz w:val="28"/>
          <w:szCs w:val="28"/>
          <w:lang w:val="en-US"/>
        </w:rPr>
        <w:t>VIII</w:t>
      </w:r>
      <w:r w:rsidR="009C5A49" w:rsidRPr="009C7D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323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9C5A49">
        <w:rPr>
          <w:rFonts w:ascii="Times New Roman" w:hAnsi="Times New Roman"/>
          <w:sz w:val="28"/>
          <w:szCs w:val="28"/>
          <w:lang w:val="uk-UA"/>
        </w:rPr>
        <w:t>П</w:t>
      </w:r>
      <w:r w:rsidR="009C5A49" w:rsidRPr="00297761">
        <w:rPr>
          <w:rFonts w:ascii="Times New Roman" w:hAnsi="Times New Roman"/>
          <w:sz w:val="28"/>
          <w:szCs w:val="28"/>
          <w:lang w:val="uk-UA"/>
        </w:rPr>
        <w:t>рограму розвитку</w:t>
      </w:r>
      <w:r w:rsidR="009C5A49">
        <w:rPr>
          <w:rFonts w:ascii="Times New Roman" w:hAnsi="Times New Roman"/>
          <w:sz w:val="28"/>
          <w:szCs w:val="28"/>
          <w:lang w:val="uk-UA"/>
        </w:rPr>
        <w:t xml:space="preserve">, підтримки та надання медичних послуг понад обсяг, передбачений програмою державних гарантій медичного обслуговування населення, </w:t>
      </w:r>
      <w:r w:rsidR="009C5A49" w:rsidRPr="00297761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«Смілянська міська </w:t>
      </w:r>
      <w:r w:rsidR="009C5A49">
        <w:rPr>
          <w:rFonts w:ascii="Times New Roman" w:hAnsi="Times New Roman"/>
          <w:sz w:val="28"/>
          <w:szCs w:val="28"/>
          <w:lang w:val="uk-UA"/>
        </w:rPr>
        <w:t xml:space="preserve">стоматологічна </w:t>
      </w:r>
      <w:r w:rsidR="009C5A49" w:rsidRPr="00297761">
        <w:rPr>
          <w:rFonts w:ascii="Times New Roman" w:hAnsi="Times New Roman"/>
          <w:sz w:val="28"/>
          <w:szCs w:val="28"/>
          <w:lang w:val="uk-UA"/>
        </w:rPr>
        <w:t>поліклініка» Смілянської міської ради на 2</w:t>
      </w:r>
      <w:r w:rsidR="009C5A49">
        <w:rPr>
          <w:rFonts w:ascii="Times New Roman" w:hAnsi="Times New Roman"/>
          <w:sz w:val="28"/>
          <w:szCs w:val="28"/>
          <w:lang w:val="uk-UA"/>
        </w:rPr>
        <w:t>022-2024</w:t>
      </w:r>
      <w:r w:rsidR="009C5A49" w:rsidRPr="0029776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9C5A49">
        <w:rPr>
          <w:rFonts w:ascii="Times New Roman" w:hAnsi="Times New Roman"/>
          <w:sz w:val="28"/>
          <w:szCs w:val="28"/>
          <w:lang w:val="uk-UA"/>
        </w:rPr>
        <w:t>оки»</w:t>
      </w:r>
      <w:r w:rsidR="009C5A49" w:rsidRPr="002977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36E">
        <w:rPr>
          <w:rFonts w:ascii="Times New Roman" w:hAnsi="Times New Roman"/>
          <w:sz w:val="28"/>
          <w:szCs w:val="28"/>
          <w:lang w:val="uk-UA"/>
        </w:rPr>
        <w:t>зі</w:t>
      </w:r>
      <w:r w:rsidR="009647B2">
        <w:rPr>
          <w:rFonts w:ascii="Times New Roman" w:hAnsi="Times New Roman"/>
          <w:sz w:val="28"/>
          <w:szCs w:val="28"/>
          <w:lang w:val="uk-UA"/>
        </w:rPr>
        <w:t xml:space="preserve"> змінами</w:t>
      </w:r>
      <w:r w:rsidR="009C5A49">
        <w:rPr>
          <w:rFonts w:ascii="Times New Roman" w:hAnsi="Times New Roman"/>
          <w:sz w:val="28"/>
          <w:szCs w:val="28"/>
          <w:lang w:val="uk-UA"/>
        </w:rPr>
        <w:t>,</w:t>
      </w:r>
      <w:r w:rsidR="009647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43F7C" w:rsidRPr="00297761" w:rsidRDefault="009C649B" w:rsidP="009C64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>:</w:t>
      </w:r>
      <w:r w:rsidR="00243F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43F7C" w:rsidRPr="00297761" w:rsidRDefault="00243F7C" w:rsidP="00243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3F7C" w:rsidRPr="00297761" w:rsidRDefault="00243F7C" w:rsidP="009C64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92479D">
        <w:rPr>
          <w:rFonts w:ascii="Times New Roman" w:hAnsi="Times New Roman"/>
          <w:sz w:val="28"/>
          <w:szCs w:val="28"/>
          <w:lang w:val="uk-UA"/>
        </w:rPr>
        <w:t>Затвердити звіт п</w:t>
      </w:r>
      <w:r w:rsidR="0000336E">
        <w:rPr>
          <w:rFonts w:ascii="Times New Roman" w:hAnsi="Times New Roman"/>
          <w:sz w:val="28"/>
          <w:szCs w:val="28"/>
          <w:lang w:val="uk-UA"/>
        </w:rPr>
        <w:t>р</w:t>
      </w:r>
      <w:r w:rsidR="0092479D">
        <w:rPr>
          <w:rFonts w:ascii="Times New Roman" w:hAnsi="Times New Roman"/>
          <w:sz w:val="28"/>
          <w:szCs w:val="28"/>
          <w:lang w:val="uk-UA"/>
        </w:rPr>
        <w:t>о</w:t>
      </w:r>
      <w:r w:rsidR="0059577B">
        <w:rPr>
          <w:rFonts w:ascii="Times New Roman" w:hAnsi="Times New Roman"/>
          <w:sz w:val="28"/>
          <w:szCs w:val="28"/>
          <w:lang w:val="uk-UA"/>
        </w:rPr>
        <w:t xml:space="preserve"> виконанн</w:t>
      </w:r>
      <w:r w:rsidR="0000336E">
        <w:rPr>
          <w:rFonts w:ascii="Times New Roman" w:hAnsi="Times New Roman"/>
          <w:sz w:val="28"/>
          <w:szCs w:val="28"/>
          <w:lang w:val="uk-UA"/>
        </w:rPr>
        <w:t>я</w:t>
      </w:r>
      <w:r w:rsidR="0059577B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297761">
        <w:rPr>
          <w:rFonts w:ascii="Times New Roman" w:hAnsi="Times New Roman"/>
          <w:sz w:val="28"/>
          <w:szCs w:val="28"/>
          <w:lang w:val="uk-UA"/>
        </w:rPr>
        <w:t>рограм</w:t>
      </w:r>
      <w:r w:rsidR="0059577B">
        <w:rPr>
          <w:rFonts w:ascii="Times New Roman" w:hAnsi="Times New Roman"/>
          <w:sz w:val="28"/>
          <w:szCs w:val="28"/>
          <w:lang w:val="uk-UA"/>
        </w:rPr>
        <w:t>и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47B2">
        <w:rPr>
          <w:rFonts w:ascii="Times New Roman" w:hAnsi="Times New Roman"/>
          <w:sz w:val="28"/>
          <w:szCs w:val="28"/>
          <w:lang w:val="uk-UA"/>
        </w:rPr>
        <w:t>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за 202</w:t>
      </w:r>
      <w:r w:rsidR="00147323">
        <w:rPr>
          <w:rFonts w:ascii="Times New Roman" w:hAnsi="Times New Roman"/>
          <w:sz w:val="28"/>
          <w:szCs w:val="28"/>
          <w:lang w:val="uk-UA"/>
        </w:rPr>
        <w:t>2</w:t>
      </w:r>
      <w:r w:rsidR="009647B2">
        <w:rPr>
          <w:rFonts w:ascii="Times New Roman" w:hAnsi="Times New Roman"/>
          <w:sz w:val="28"/>
          <w:szCs w:val="28"/>
          <w:lang w:val="uk-UA"/>
        </w:rPr>
        <w:t xml:space="preserve"> рік згідно з додатком.</w:t>
      </w:r>
    </w:p>
    <w:p w:rsidR="00243F7C" w:rsidRPr="00297761" w:rsidRDefault="00243F7C" w:rsidP="009C64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 xml:space="preserve">Організацію виконання рішення покласти </w:t>
      </w:r>
      <w:r w:rsidR="009C649B">
        <w:rPr>
          <w:rFonts w:ascii="Times New Roman" w:hAnsi="Times New Roman"/>
          <w:bCs/>
          <w:sz w:val="28"/>
          <w:szCs w:val="28"/>
          <w:lang w:val="uk-UA"/>
        </w:rPr>
        <w:t>на заступника міського голови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 xml:space="preserve"> відповідно до функціональних повноважень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 xml:space="preserve"> відділ </w:t>
      </w:r>
      <w:r w:rsidR="009647B2">
        <w:rPr>
          <w:rFonts w:ascii="Times New Roman" w:hAnsi="Times New Roman"/>
          <w:bCs/>
          <w:sz w:val="28"/>
          <w:szCs w:val="28"/>
          <w:lang w:val="uk-UA"/>
        </w:rPr>
        <w:t>бухгалтерського обліку та звітності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243F7C" w:rsidRPr="00297761" w:rsidRDefault="0014297A" w:rsidP="009C64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рішення покласти на секретаря міської ради</w:t>
      </w:r>
      <w:r w:rsidR="00BA227C">
        <w:rPr>
          <w:rFonts w:ascii="Times New Roman" w:hAnsi="Times New Roman"/>
          <w:bCs/>
          <w:sz w:val="28"/>
          <w:szCs w:val="28"/>
          <w:lang w:val="uk-UA"/>
        </w:rPr>
        <w:t xml:space="preserve">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</w:t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 xml:space="preserve">постійну комісію міської ради з питань </w:t>
      </w:r>
      <w:r w:rsidR="009647B2">
        <w:rPr>
          <w:rFonts w:ascii="Times New Roman" w:hAnsi="Times New Roman"/>
          <w:sz w:val="28"/>
          <w:szCs w:val="28"/>
          <w:lang w:val="uk-UA"/>
        </w:rPr>
        <w:t>освіти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 xml:space="preserve">, молоді 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lastRenderedPageBreak/>
        <w:t>та спорту, культури, охорони здоров’я, соціального захисту, засобів масової інформації</w:t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43F7C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9383B" w:rsidRDefault="0099383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B43BD" w:rsidRDefault="00411F4F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</w:t>
      </w:r>
      <w:r w:rsidR="009C649B">
        <w:rPr>
          <w:rFonts w:ascii="Times New Roman" w:hAnsi="Times New Roman"/>
          <w:bCs/>
          <w:sz w:val="28"/>
          <w:szCs w:val="28"/>
          <w:lang w:val="uk-UA"/>
        </w:rPr>
        <w:tab/>
      </w:r>
      <w:r w:rsidR="009C649B">
        <w:rPr>
          <w:rFonts w:ascii="Times New Roman" w:hAnsi="Times New Roman"/>
          <w:bCs/>
          <w:sz w:val="28"/>
          <w:szCs w:val="28"/>
          <w:lang w:val="uk-UA"/>
        </w:rPr>
        <w:tab/>
        <w:t xml:space="preserve">Сергій АНАНКО </w:t>
      </w:r>
    </w:p>
    <w:p w:rsidR="00243F7C" w:rsidRPr="00297761" w:rsidRDefault="00411F4F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243F7C" w:rsidRPr="00297761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43F7C" w:rsidRPr="00297761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43F7C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F0B44" w:rsidRPr="00297761" w:rsidRDefault="00EF0B44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43F7C" w:rsidRPr="00297761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868"/>
        <w:gridCol w:w="900"/>
        <w:gridCol w:w="3240"/>
      </w:tblGrid>
      <w:tr w:rsidR="00147323" w:rsidRPr="00455561" w:rsidTr="001A5B87">
        <w:tc>
          <w:tcPr>
            <w:tcW w:w="5868" w:type="dxa"/>
          </w:tcPr>
          <w:p w:rsidR="00147323" w:rsidRPr="009B5EA5" w:rsidRDefault="00147323" w:rsidP="001A5B87">
            <w:pPr>
              <w:pStyle w:val="ac"/>
              <w:autoSpaceDE w:val="0"/>
              <w:autoSpaceDN w:val="0"/>
              <w:spacing w:line="216" w:lineRule="auto"/>
              <w:jc w:val="both"/>
              <w:rPr>
                <w:b w:val="0"/>
                <w:bCs w:val="0"/>
                <w:szCs w:val="28"/>
              </w:rPr>
            </w:pPr>
            <w:r w:rsidRPr="009B5EA5">
              <w:rPr>
                <w:b w:val="0"/>
                <w:bCs w:val="0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147323" w:rsidRPr="000D1CD4" w:rsidRDefault="00147323" w:rsidP="001A5B87">
            <w:pPr>
              <w:pStyle w:val="ac"/>
              <w:autoSpaceDE w:val="0"/>
              <w:autoSpaceDN w:val="0"/>
              <w:spacing w:line="216" w:lineRule="auto"/>
              <w:jc w:val="both"/>
              <w:rPr>
                <w:bCs w:val="0"/>
                <w:szCs w:val="28"/>
              </w:rPr>
            </w:pPr>
          </w:p>
        </w:tc>
        <w:tc>
          <w:tcPr>
            <w:tcW w:w="3240" w:type="dxa"/>
          </w:tcPr>
          <w:p w:rsidR="00147323" w:rsidRPr="000D1CD4" w:rsidRDefault="00147323" w:rsidP="001A5B87">
            <w:pPr>
              <w:pStyle w:val="ac"/>
              <w:autoSpaceDE w:val="0"/>
              <w:autoSpaceDN w:val="0"/>
              <w:spacing w:line="216" w:lineRule="auto"/>
              <w:jc w:val="both"/>
              <w:rPr>
                <w:bCs w:val="0"/>
                <w:szCs w:val="28"/>
              </w:rPr>
            </w:pPr>
          </w:p>
        </w:tc>
      </w:tr>
      <w:tr w:rsidR="00147323" w:rsidRPr="000D1CD4" w:rsidTr="001A5B87">
        <w:tc>
          <w:tcPr>
            <w:tcW w:w="5868" w:type="dxa"/>
          </w:tcPr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147323" w:rsidRPr="000D1CD4" w:rsidTr="001A5B87">
        <w:trPr>
          <w:trHeight w:val="1015"/>
        </w:trPr>
        <w:tc>
          <w:tcPr>
            <w:tcW w:w="5868" w:type="dxa"/>
          </w:tcPr>
          <w:p w:rsidR="0014732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>остійн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</w:t>
            </w:r>
          </w:p>
          <w:p w:rsidR="0014732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місцевого бюджету, </w:t>
            </w:r>
          </w:p>
          <w:p w:rsidR="0014732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фінансів, податкової політики, </w:t>
            </w:r>
          </w:p>
          <w:p w:rsidR="0014732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розвитку підприємництва, </w:t>
            </w:r>
          </w:p>
          <w:p w:rsidR="0014732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захисту прав споживачів, </w:t>
            </w:r>
          </w:p>
          <w:p w:rsidR="0014732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147323" w:rsidRPr="00EE7306" w:rsidRDefault="00147323" w:rsidP="001A5B87">
            <w:pPr>
              <w:pStyle w:val="ac"/>
              <w:autoSpaceDE w:val="0"/>
              <w:autoSpaceDN w:val="0"/>
            </w:pPr>
          </w:p>
        </w:tc>
        <w:tc>
          <w:tcPr>
            <w:tcW w:w="900" w:type="dxa"/>
          </w:tcPr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147323" w:rsidRPr="000D1CD4" w:rsidTr="001A5B87">
        <w:trPr>
          <w:trHeight w:val="403"/>
        </w:trPr>
        <w:tc>
          <w:tcPr>
            <w:tcW w:w="5868" w:type="dxa"/>
          </w:tcPr>
          <w:p w:rsidR="00147323" w:rsidRPr="001A173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Постійна комісія міської ради                                                  </w:t>
            </w:r>
          </w:p>
          <w:p w:rsidR="0014732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питань освіти, молоді та спорту, </w:t>
            </w:r>
          </w:p>
          <w:p w:rsidR="0014732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культури, охорони здоров’я, </w:t>
            </w:r>
          </w:p>
          <w:p w:rsidR="0014732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соціального захисту,  </w:t>
            </w:r>
          </w:p>
          <w:p w:rsidR="0014732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засобів масової інформації</w:t>
            </w:r>
          </w:p>
        </w:tc>
        <w:tc>
          <w:tcPr>
            <w:tcW w:w="900" w:type="dxa"/>
          </w:tcPr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Мар’яна КРИВОРУЧКО</w:t>
            </w:r>
          </w:p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147323" w:rsidRPr="000D1CD4" w:rsidTr="001A5B87">
        <w:trPr>
          <w:trHeight w:val="403"/>
        </w:trPr>
        <w:tc>
          <w:tcPr>
            <w:tcW w:w="5868" w:type="dxa"/>
          </w:tcPr>
          <w:p w:rsidR="00147323" w:rsidRPr="001A173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900" w:type="dxa"/>
          </w:tcPr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КАРЛО</w:t>
            </w:r>
          </w:p>
        </w:tc>
      </w:tr>
      <w:tr w:rsidR="00147323" w:rsidRPr="000D1CD4" w:rsidTr="001A5B87">
        <w:trPr>
          <w:trHeight w:val="403"/>
        </w:trPr>
        <w:tc>
          <w:tcPr>
            <w:tcW w:w="5868" w:type="dxa"/>
          </w:tcPr>
          <w:p w:rsidR="00147323" w:rsidRPr="009B5EA5" w:rsidRDefault="00147323" w:rsidP="001A5B8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EA5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  <w:r w:rsidRPr="009B5E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B5E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B5E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B5E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B5E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B5EA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900" w:type="dxa"/>
          </w:tcPr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147323" w:rsidRPr="00EE7306" w:rsidTr="001A5B87">
        <w:tc>
          <w:tcPr>
            <w:tcW w:w="5868" w:type="dxa"/>
          </w:tcPr>
          <w:p w:rsidR="00147323" w:rsidRPr="00EE7306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900" w:type="dxa"/>
          </w:tcPr>
          <w:p w:rsidR="00147323" w:rsidRPr="00EE7306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147323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147323" w:rsidRPr="00EE7306" w:rsidRDefault="00147323" w:rsidP="001A5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7323" w:rsidRPr="000D1CD4" w:rsidTr="001A5B87">
        <w:trPr>
          <w:trHeight w:val="80"/>
        </w:trPr>
        <w:tc>
          <w:tcPr>
            <w:tcW w:w="5868" w:type="dxa"/>
          </w:tcPr>
          <w:p w:rsidR="00147323" w:rsidRPr="009B5EA5" w:rsidRDefault="00147323" w:rsidP="009B5EA5">
            <w:pPr>
              <w:pStyle w:val="ac"/>
              <w:autoSpaceDE w:val="0"/>
              <w:autoSpaceDN w:val="0"/>
              <w:jc w:val="left"/>
              <w:rPr>
                <w:b w:val="0"/>
                <w:bCs w:val="0"/>
                <w:szCs w:val="28"/>
              </w:rPr>
            </w:pPr>
            <w:r w:rsidRPr="009B5EA5">
              <w:rPr>
                <w:b w:val="0"/>
                <w:bCs w:val="0"/>
                <w:szCs w:val="28"/>
              </w:rPr>
              <w:t xml:space="preserve">Відділ бухгалтерського </w:t>
            </w:r>
          </w:p>
          <w:p w:rsidR="00147323" w:rsidRPr="000D1CD4" w:rsidRDefault="00147323" w:rsidP="009B5EA5">
            <w:pPr>
              <w:pStyle w:val="ac"/>
              <w:autoSpaceDE w:val="0"/>
              <w:autoSpaceDN w:val="0"/>
              <w:jc w:val="left"/>
              <w:rPr>
                <w:bCs w:val="0"/>
                <w:szCs w:val="28"/>
              </w:rPr>
            </w:pPr>
            <w:r w:rsidRPr="009B5EA5">
              <w:rPr>
                <w:b w:val="0"/>
                <w:bCs w:val="0"/>
                <w:szCs w:val="28"/>
              </w:rPr>
              <w:t>обліку та звітності</w:t>
            </w:r>
          </w:p>
        </w:tc>
        <w:tc>
          <w:tcPr>
            <w:tcW w:w="900" w:type="dxa"/>
          </w:tcPr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147323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147323" w:rsidRPr="000D1CD4" w:rsidRDefault="00147323" w:rsidP="001A5B8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Леся ЧЕМЕРИС</w:t>
            </w:r>
          </w:p>
        </w:tc>
      </w:tr>
    </w:tbl>
    <w:p w:rsidR="009C649B" w:rsidRDefault="009C649B" w:rsidP="00F83B47">
      <w:pPr>
        <w:pStyle w:val="af1"/>
        <w:shd w:val="clear" w:color="auto" w:fill="FFFFFF"/>
        <w:spacing w:before="0" w:beforeAutospacing="0" w:after="0" w:afterAutospacing="0"/>
        <w:ind w:left="4248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Додаток</w:t>
      </w:r>
    </w:p>
    <w:p w:rsidR="00F83B47" w:rsidRDefault="009C649B" w:rsidP="00F83B47">
      <w:pPr>
        <w:pStyle w:val="af1"/>
        <w:shd w:val="clear" w:color="auto" w:fill="FFFFFF"/>
        <w:spacing w:before="0" w:beforeAutospacing="0" w:after="0" w:afterAutospacing="0"/>
        <w:ind w:left="4248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F83B47" w:rsidRPr="00F83B47">
        <w:rPr>
          <w:bCs/>
          <w:sz w:val="28"/>
          <w:szCs w:val="28"/>
          <w:lang w:val="uk-UA"/>
        </w:rPr>
        <w:t>ЗАТВЕРДЖЕНО</w:t>
      </w:r>
    </w:p>
    <w:p w:rsidR="00F83B47" w:rsidRDefault="009C649B" w:rsidP="00F83B47">
      <w:pPr>
        <w:pStyle w:val="af1"/>
        <w:shd w:val="clear" w:color="auto" w:fill="FFFFFF"/>
        <w:spacing w:before="0" w:beforeAutospacing="0" w:after="0" w:afterAutospacing="0"/>
        <w:ind w:left="4248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92479D">
        <w:rPr>
          <w:bCs/>
          <w:sz w:val="28"/>
          <w:szCs w:val="28"/>
          <w:lang w:val="uk-UA"/>
        </w:rPr>
        <w:t>рішення</w:t>
      </w:r>
      <w:r w:rsidR="00F83B47">
        <w:rPr>
          <w:bCs/>
          <w:sz w:val="28"/>
          <w:szCs w:val="28"/>
          <w:lang w:val="uk-UA"/>
        </w:rPr>
        <w:t xml:space="preserve"> міської ради </w:t>
      </w:r>
    </w:p>
    <w:p w:rsidR="00F83B47" w:rsidRPr="00F62EF0" w:rsidRDefault="00F62EF0" w:rsidP="00F83B47">
      <w:pPr>
        <w:pStyle w:val="af1"/>
        <w:shd w:val="clear" w:color="auto" w:fill="FFFFFF"/>
        <w:spacing w:before="0" w:beforeAutospacing="0" w:after="0" w:afterAutospacing="0"/>
        <w:ind w:left="4248" w:firstLine="708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uk-UA"/>
        </w:rPr>
        <w:t xml:space="preserve">        від </w:t>
      </w:r>
      <w:r w:rsidRPr="00F62EF0">
        <w:rPr>
          <w:bCs/>
          <w:sz w:val="28"/>
          <w:szCs w:val="28"/>
        </w:rPr>
        <w:t>22.02.</w:t>
      </w:r>
      <w:r>
        <w:rPr>
          <w:bCs/>
          <w:sz w:val="28"/>
          <w:szCs w:val="28"/>
          <w:lang w:val="en-US"/>
        </w:rPr>
        <w:t xml:space="preserve">2023 </w:t>
      </w:r>
      <w:r>
        <w:rPr>
          <w:bCs/>
          <w:sz w:val="28"/>
          <w:szCs w:val="28"/>
          <w:lang w:val="uk-UA"/>
        </w:rPr>
        <w:t xml:space="preserve">№ </w:t>
      </w:r>
      <w:r w:rsidR="00544CC6">
        <w:rPr>
          <w:bCs/>
          <w:sz w:val="28"/>
          <w:szCs w:val="28"/>
          <w:lang w:val="en-US"/>
        </w:rPr>
        <w:t>58-4/VIII</w:t>
      </w:r>
    </w:p>
    <w:p w:rsidR="00F83B47" w:rsidRDefault="00F83B47" w:rsidP="00F83B47">
      <w:pPr>
        <w:pStyle w:val="af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F83B47" w:rsidRDefault="0092479D" w:rsidP="009647B2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Звіт</w:t>
      </w:r>
      <w:r w:rsidR="00F83B47">
        <w:rPr>
          <w:b/>
          <w:bCs/>
          <w:sz w:val="28"/>
          <w:szCs w:val="28"/>
          <w:lang w:val="uk-UA"/>
        </w:rPr>
        <w:t xml:space="preserve"> п</w:t>
      </w:r>
      <w:r w:rsidR="0000336E">
        <w:rPr>
          <w:b/>
          <w:bCs/>
          <w:sz w:val="28"/>
          <w:szCs w:val="28"/>
          <w:lang w:val="uk-UA"/>
        </w:rPr>
        <w:t>р</w:t>
      </w:r>
      <w:r w:rsidR="00F83B47">
        <w:rPr>
          <w:b/>
          <w:bCs/>
          <w:sz w:val="28"/>
          <w:szCs w:val="28"/>
          <w:lang w:val="uk-UA"/>
        </w:rPr>
        <w:t>о виконанн</w:t>
      </w:r>
      <w:r w:rsidR="0000336E">
        <w:rPr>
          <w:b/>
          <w:bCs/>
          <w:sz w:val="28"/>
          <w:szCs w:val="28"/>
          <w:lang w:val="uk-UA"/>
        </w:rPr>
        <w:t>я</w:t>
      </w:r>
      <w:r w:rsidR="00F83B47">
        <w:rPr>
          <w:b/>
          <w:bCs/>
          <w:sz w:val="28"/>
          <w:szCs w:val="28"/>
          <w:lang w:val="uk-UA"/>
        </w:rPr>
        <w:t xml:space="preserve"> м</w:t>
      </w:r>
      <w:r w:rsidR="00F83B47" w:rsidRPr="008D67DF">
        <w:rPr>
          <w:b/>
          <w:bCs/>
          <w:sz w:val="28"/>
          <w:szCs w:val="28"/>
          <w:lang w:val="uk-UA"/>
        </w:rPr>
        <w:t>іськ</w:t>
      </w:r>
      <w:r w:rsidR="00F83B47">
        <w:rPr>
          <w:b/>
          <w:bCs/>
          <w:sz w:val="28"/>
          <w:szCs w:val="28"/>
          <w:lang w:val="uk-UA"/>
        </w:rPr>
        <w:t>ої</w:t>
      </w:r>
      <w:r w:rsidR="00F83B47" w:rsidRPr="008D67DF">
        <w:rPr>
          <w:b/>
          <w:bCs/>
          <w:sz w:val="28"/>
          <w:szCs w:val="28"/>
          <w:lang w:val="uk-UA"/>
        </w:rPr>
        <w:t xml:space="preserve"> Програ</w:t>
      </w:r>
      <w:r w:rsidR="00F83B47">
        <w:rPr>
          <w:b/>
          <w:bCs/>
          <w:sz w:val="28"/>
          <w:szCs w:val="28"/>
          <w:lang w:val="uk-UA"/>
        </w:rPr>
        <w:t>ми</w:t>
      </w:r>
      <w:r w:rsidR="00F83B47" w:rsidRPr="008D67DF">
        <w:rPr>
          <w:b/>
          <w:bCs/>
          <w:sz w:val="28"/>
          <w:szCs w:val="28"/>
          <w:lang w:val="uk-UA"/>
        </w:rPr>
        <w:t xml:space="preserve"> </w:t>
      </w:r>
      <w:r w:rsidR="009647B2" w:rsidRPr="009647B2">
        <w:rPr>
          <w:b/>
          <w:sz w:val="28"/>
          <w:szCs w:val="28"/>
          <w:lang w:val="uk-UA"/>
        </w:rPr>
        <w:t>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за 202</w:t>
      </w:r>
      <w:r w:rsidR="00D95812">
        <w:rPr>
          <w:b/>
          <w:sz w:val="28"/>
          <w:szCs w:val="28"/>
          <w:lang w:val="uk-UA"/>
        </w:rPr>
        <w:t>2</w:t>
      </w:r>
      <w:r w:rsidR="009647B2">
        <w:rPr>
          <w:b/>
          <w:sz w:val="28"/>
          <w:szCs w:val="28"/>
          <w:lang w:val="uk-UA"/>
        </w:rPr>
        <w:t xml:space="preserve"> рік</w:t>
      </w:r>
    </w:p>
    <w:p w:rsidR="009647B2" w:rsidRPr="009647B2" w:rsidRDefault="009647B2" w:rsidP="009647B2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B83D99" w:rsidRPr="00D068DB" w:rsidRDefault="00B83D99" w:rsidP="00B83D99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  <w:lang w:val="uk-UA"/>
        </w:rPr>
      </w:pPr>
      <w:r w:rsidRPr="009C649B">
        <w:rPr>
          <w:sz w:val="28"/>
          <w:szCs w:val="28"/>
          <w:lang w:val="uk-UA"/>
        </w:rPr>
        <w:t xml:space="preserve">Рішенням міської ради від </w:t>
      </w:r>
      <w:r>
        <w:rPr>
          <w:sz w:val="28"/>
          <w:szCs w:val="28"/>
          <w:lang w:val="uk-UA"/>
        </w:rPr>
        <w:t>24.06.2021</w:t>
      </w:r>
      <w:r w:rsidRPr="009C649B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17-54</w:t>
      </w:r>
      <w:r w:rsidRPr="009C649B">
        <w:rPr>
          <w:sz w:val="28"/>
          <w:szCs w:val="28"/>
          <w:lang w:val="uk-UA"/>
        </w:rPr>
        <w:t>/V</w:t>
      </w:r>
      <w:r>
        <w:rPr>
          <w:sz w:val="28"/>
          <w:szCs w:val="28"/>
          <w:lang w:val="uk-UA"/>
        </w:rPr>
        <w:t>І</w:t>
      </w:r>
      <w:r w:rsidRPr="009C649B">
        <w:rPr>
          <w:sz w:val="28"/>
          <w:szCs w:val="28"/>
          <w:lang w:val="uk-UA"/>
        </w:rPr>
        <w:t xml:space="preserve">II </w:t>
      </w:r>
      <w:r>
        <w:rPr>
          <w:sz w:val="28"/>
          <w:szCs w:val="28"/>
          <w:lang w:val="uk-UA"/>
        </w:rPr>
        <w:t xml:space="preserve">була </w:t>
      </w:r>
      <w:r w:rsidRPr="009C649B">
        <w:rPr>
          <w:sz w:val="28"/>
          <w:szCs w:val="28"/>
          <w:lang w:val="uk-UA"/>
        </w:rPr>
        <w:t xml:space="preserve">затверджена міська Програма </w:t>
      </w:r>
      <w:r>
        <w:rPr>
          <w:sz w:val="28"/>
          <w:szCs w:val="28"/>
          <w:lang w:val="uk-UA"/>
        </w:rPr>
        <w:t xml:space="preserve">розвитку, підтримки та надання медичних послуг понад обсяг, передбачений програмою державних гарантій медичного обслуговування населення, </w:t>
      </w:r>
      <w:r w:rsidRPr="009C649B">
        <w:rPr>
          <w:sz w:val="28"/>
          <w:szCs w:val="28"/>
          <w:lang w:val="uk-UA"/>
        </w:rPr>
        <w:t>комунального некомерційного підприємства «</w:t>
      </w:r>
      <w:r>
        <w:rPr>
          <w:sz w:val="28"/>
          <w:szCs w:val="28"/>
          <w:lang w:val="uk-UA"/>
        </w:rPr>
        <w:t>Смілянська міська стоматологічна поліклініка</w:t>
      </w:r>
      <w:r w:rsidRPr="009C649B">
        <w:rPr>
          <w:sz w:val="28"/>
          <w:szCs w:val="28"/>
          <w:lang w:val="uk-UA"/>
        </w:rPr>
        <w:t>» Смілянської міської ради на 202</w:t>
      </w:r>
      <w:r>
        <w:rPr>
          <w:sz w:val="28"/>
          <w:szCs w:val="28"/>
          <w:lang w:val="uk-UA"/>
        </w:rPr>
        <w:t>2-2024</w:t>
      </w:r>
      <w:r w:rsidR="00A435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</w:t>
      </w:r>
      <w:r w:rsidRPr="009C64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649B">
        <w:rPr>
          <w:sz w:val="28"/>
          <w:szCs w:val="28"/>
          <w:lang w:val="uk-UA"/>
        </w:rPr>
        <w:t>(далі - Програма)</w:t>
      </w:r>
      <w:r>
        <w:rPr>
          <w:sz w:val="28"/>
          <w:szCs w:val="28"/>
          <w:lang w:val="uk-UA"/>
        </w:rPr>
        <w:t>. Протягом 2022</w:t>
      </w:r>
      <w:r w:rsidRPr="00F12DF1">
        <w:rPr>
          <w:sz w:val="28"/>
          <w:szCs w:val="28"/>
          <w:lang w:val="uk-UA"/>
        </w:rPr>
        <w:t xml:space="preserve"> року до зазначе</w:t>
      </w:r>
      <w:r w:rsidR="00A4355E">
        <w:rPr>
          <w:sz w:val="28"/>
          <w:szCs w:val="28"/>
          <w:lang w:val="uk-UA"/>
        </w:rPr>
        <w:t>ної Програми було внесено зміни</w:t>
      </w:r>
      <w:r w:rsidRPr="00F12DF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було обумовлено  збільшенням або  зменшенням видатків на завдання і заходи Програми, або їх недофінансуванням у зв’язку із зменшенням потреби</w:t>
      </w:r>
      <w:r w:rsidRPr="00F12DF1">
        <w:rPr>
          <w:sz w:val="28"/>
          <w:szCs w:val="28"/>
          <w:lang w:val="uk-UA"/>
        </w:rPr>
        <w:t>.</w:t>
      </w:r>
      <w:r w:rsidRPr="00D068DB">
        <w:rPr>
          <w:sz w:val="28"/>
          <w:szCs w:val="28"/>
          <w:highlight w:val="yellow"/>
          <w:lang w:val="uk-UA"/>
        </w:rPr>
        <w:t xml:space="preserve"> </w:t>
      </w:r>
    </w:p>
    <w:p w:rsidR="00B83D99" w:rsidRDefault="00B83D99" w:rsidP="00B83D99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D67DF">
        <w:rPr>
          <w:sz w:val="28"/>
          <w:szCs w:val="28"/>
          <w:lang w:val="uk-UA"/>
        </w:rPr>
        <w:t>Головною метою Програми є надання стоматологічної кваліфікованої амбулаторно-поліклінічної допомоги на безоплатній та платній основі, а також вжиття заходів профілактики стоматологічних захворювань населення</w:t>
      </w:r>
      <w:r>
        <w:rPr>
          <w:sz w:val="28"/>
          <w:szCs w:val="28"/>
          <w:lang w:val="uk-UA"/>
        </w:rPr>
        <w:t xml:space="preserve"> міста Сміла, а також інших осіб, які потребували стоматологічної медичної допомоги</w:t>
      </w:r>
      <w:r w:rsidRPr="008D67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B83D99" w:rsidRPr="00D869D0" w:rsidRDefault="00B83D99" w:rsidP="00B83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869D0">
        <w:rPr>
          <w:rFonts w:ascii="Times New Roman" w:hAnsi="Times New Roman"/>
          <w:sz w:val="28"/>
          <w:szCs w:val="28"/>
          <w:lang w:val="uk-UA"/>
        </w:rPr>
        <w:t>У 2022 році за отриманням медичної стоматологічної допомоги до КНП «Смілянська міська стоматологічна поліклініка» Смілянської міської ради звернулося 25 416 осіб, з них:</w:t>
      </w:r>
    </w:p>
    <w:p w:rsidR="00B83D99" w:rsidRPr="00D869D0" w:rsidRDefault="00B83D99" w:rsidP="00B83D9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9D0">
        <w:rPr>
          <w:rFonts w:ascii="Times New Roman" w:hAnsi="Times New Roman"/>
          <w:sz w:val="28"/>
          <w:szCs w:val="28"/>
          <w:lang w:val="uk-UA"/>
        </w:rPr>
        <w:t>відвідувань дітей – 6 506;</w:t>
      </w:r>
    </w:p>
    <w:p w:rsidR="00B83D99" w:rsidRPr="00D869D0" w:rsidRDefault="00B83D99" w:rsidP="00B83D9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9D0">
        <w:rPr>
          <w:rFonts w:ascii="Times New Roman" w:hAnsi="Times New Roman"/>
          <w:sz w:val="28"/>
          <w:szCs w:val="28"/>
          <w:lang w:val="uk-UA"/>
        </w:rPr>
        <w:t>дорослих відвідувань – 18 910.</w:t>
      </w:r>
    </w:p>
    <w:p w:rsidR="00B83D99" w:rsidRPr="00E77D4E" w:rsidRDefault="00B83D99" w:rsidP="00B83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Pr="00E77D4E">
        <w:rPr>
          <w:rFonts w:ascii="Times New Roman" w:hAnsi="Times New Roman"/>
          <w:sz w:val="28"/>
          <w:szCs w:val="28"/>
          <w:lang w:val="uk-UA"/>
        </w:rPr>
        <w:t xml:space="preserve"> платних послуг було надано стоматологічну допомогу 4 868 особам на загальну суму </w:t>
      </w:r>
      <w:r>
        <w:rPr>
          <w:rFonts w:ascii="Times New Roman" w:hAnsi="Times New Roman"/>
          <w:sz w:val="28"/>
          <w:szCs w:val="28"/>
          <w:lang w:val="uk-UA"/>
        </w:rPr>
        <w:t>7 245,3 тисяч гривень.</w:t>
      </w:r>
    </w:p>
    <w:p w:rsidR="00B83D99" w:rsidRPr="00E77D4E" w:rsidRDefault="00B83D99" w:rsidP="00B83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2022</w:t>
      </w:r>
      <w:r w:rsidRPr="00E77D4E">
        <w:rPr>
          <w:rFonts w:ascii="Times New Roman" w:hAnsi="Times New Roman"/>
          <w:sz w:val="28"/>
          <w:szCs w:val="28"/>
          <w:lang w:val="uk-UA"/>
        </w:rPr>
        <w:t xml:space="preserve"> році за рахунок коштів бюджету Смілянської міської територіальної громади було надано стоматологічну допомогу пільговим категоріям населення у кількості </w:t>
      </w:r>
      <w:r>
        <w:rPr>
          <w:rFonts w:ascii="Times New Roman" w:hAnsi="Times New Roman"/>
          <w:sz w:val="28"/>
          <w:szCs w:val="28"/>
          <w:lang w:val="uk-UA"/>
        </w:rPr>
        <w:t>1036</w:t>
      </w:r>
      <w:r w:rsidRPr="00E77D4E">
        <w:rPr>
          <w:rFonts w:ascii="Times New Roman" w:hAnsi="Times New Roman"/>
          <w:sz w:val="28"/>
          <w:szCs w:val="28"/>
          <w:lang w:val="uk-UA"/>
        </w:rPr>
        <w:t xml:space="preserve"> осіб на суму </w:t>
      </w:r>
      <w:r>
        <w:rPr>
          <w:rFonts w:ascii="Times New Roman" w:hAnsi="Times New Roman"/>
          <w:sz w:val="28"/>
          <w:szCs w:val="28"/>
          <w:lang w:val="uk-UA"/>
        </w:rPr>
        <w:t>529,1</w:t>
      </w:r>
      <w:r w:rsidRPr="00E77D4E">
        <w:rPr>
          <w:rFonts w:ascii="Times New Roman" w:hAnsi="Times New Roman"/>
          <w:sz w:val="28"/>
          <w:szCs w:val="28"/>
          <w:lang w:val="uk-UA"/>
        </w:rPr>
        <w:t xml:space="preserve"> тис. грн, а саме:</w:t>
      </w:r>
    </w:p>
    <w:p w:rsidR="00B83D99" w:rsidRPr="00E77D4E" w:rsidRDefault="00B83D99" w:rsidP="00B83D9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7D4E">
        <w:rPr>
          <w:rFonts w:ascii="Times New Roman" w:hAnsi="Times New Roman"/>
          <w:sz w:val="28"/>
          <w:szCs w:val="28"/>
          <w:lang w:val="uk-UA"/>
        </w:rPr>
        <w:t xml:space="preserve">учасники бойових дій – </w:t>
      </w:r>
      <w:r>
        <w:rPr>
          <w:rFonts w:ascii="Times New Roman" w:hAnsi="Times New Roman"/>
          <w:sz w:val="28"/>
          <w:szCs w:val="28"/>
          <w:lang w:val="uk-UA"/>
        </w:rPr>
        <w:t>383</w:t>
      </w:r>
      <w:r w:rsidRPr="00E77D4E">
        <w:rPr>
          <w:rFonts w:ascii="Times New Roman" w:hAnsi="Times New Roman"/>
          <w:sz w:val="28"/>
          <w:szCs w:val="28"/>
          <w:lang w:val="uk-UA"/>
        </w:rPr>
        <w:t xml:space="preserve"> особи;</w:t>
      </w:r>
    </w:p>
    <w:p w:rsidR="00B83D99" w:rsidRPr="00E77D4E" w:rsidRDefault="00B83D99" w:rsidP="00B83D9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7D4E">
        <w:rPr>
          <w:rFonts w:ascii="Times New Roman" w:hAnsi="Times New Roman"/>
          <w:sz w:val="28"/>
          <w:szCs w:val="28"/>
          <w:lang w:val="uk-UA"/>
        </w:rPr>
        <w:t xml:space="preserve">особи з інвалідністю І та ІІ груп – </w:t>
      </w:r>
      <w:r>
        <w:rPr>
          <w:rFonts w:ascii="Times New Roman" w:hAnsi="Times New Roman"/>
          <w:sz w:val="28"/>
          <w:szCs w:val="28"/>
          <w:lang w:val="uk-UA"/>
        </w:rPr>
        <w:t>503</w:t>
      </w:r>
      <w:r w:rsidRPr="00E77D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6006">
        <w:rPr>
          <w:rFonts w:ascii="Times New Roman" w:hAnsi="Times New Roman"/>
          <w:sz w:val="28"/>
          <w:szCs w:val="28"/>
          <w:lang w:val="uk-UA"/>
        </w:rPr>
        <w:t>особи</w:t>
      </w:r>
      <w:r w:rsidRPr="00E77D4E">
        <w:rPr>
          <w:rFonts w:ascii="Times New Roman" w:hAnsi="Times New Roman"/>
          <w:sz w:val="28"/>
          <w:szCs w:val="28"/>
          <w:lang w:val="uk-UA"/>
        </w:rPr>
        <w:t>;</w:t>
      </w:r>
    </w:p>
    <w:p w:rsidR="00B83D99" w:rsidRDefault="00B83D99" w:rsidP="00B83D9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7D4E">
        <w:rPr>
          <w:rFonts w:ascii="Times New Roman" w:hAnsi="Times New Roman"/>
          <w:sz w:val="28"/>
          <w:szCs w:val="28"/>
          <w:lang w:val="uk-UA"/>
        </w:rPr>
        <w:t xml:space="preserve">пенсіонери за віком – </w:t>
      </w:r>
      <w:r>
        <w:rPr>
          <w:rFonts w:ascii="Times New Roman" w:hAnsi="Times New Roman"/>
          <w:sz w:val="28"/>
          <w:szCs w:val="28"/>
          <w:lang w:val="uk-UA"/>
        </w:rPr>
        <w:t>82</w:t>
      </w:r>
      <w:r w:rsidRPr="00E77D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6006">
        <w:rPr>
          <w:rFonts w:ascii="Times New Roman" w:hAnsi="Times New Roman"/>
          <w:sz w:val="28"/>
          <w:szCs w:val="28"/>
          <w:lang w:val="uk-UA"/>
        </w:rPr>
        <w:t>особи</w:t>
      </w:r>
      <w:r w:rsidRPr="00E77D4E">
        <w:rPr>
          <w:rFonts w:ascii="Times New Roman" w:hAnsi="Times New Roman"/>
          <w:sz w:val="28"/>
          <w:szCs w:val="28"/>
          <w:lang w:val="uk-UA"/>
        </w:rPr>
        <w:t>;</w:t>
      </w:r>
    </w:p>
    <w:p w:rsidR="00B83D99" w:rsidRPr="00E77D4E" w:rsidRDefault="00B83D99" w:rsidP="00B83D9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інші – 68</w:t>
      </w:r>
      <w:r w:rsidRPr="00E77D4E">
        <w:rPr>
          <w:rFonts w:ascii="Times New Roman" w:hAnsi="Times New Roman"/>
          <w:sz w:val="28"/>
          <w:szCs w:val="28"/>
          <w:lang w:val="uk-UA"/>
        </w:rPr>
        <w:t xml:space="preserve"> осіб.</w:t>
      </w:r>
    </w:p>
    <w:p w:rsidR="00B83D99" w:rsidRPr="00CA1CF7" w:rsidRDefault="00B83D99" w:rsidP="00B83D99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Програми у 2022</w:t>
      </w:r>
      <w:r w:rsidRPr="00CA1CF7">
        <w:rPr>
          <w:sz w:val="28"/>
          <w:szCs w:val="28"/>
          <w:lang w:val="uk-UA"/>
        </w:rPr>
        <w:t xml:space="preserve"> році здійснювалося в межах видатків, затверджених </w:t>
      </w:r>
      <w:r>
        <w:rPr>
          <w:sz w:val="28"/>
          <w:szCs w:val="28"/>
          <w:lang w:val="uk-UA"/>
        </w:rPr>
        <w:t>та виділених з</w:t>
      </w:r>
      <w:r w:rsidRPr="00CA1CF7">
        <w:rPr>
          <w:sz w:val="28"/>
          <w:szCs w:val="28"/>
          <w:lang w:val="uk-UA"/>
        </w:rPr>
        <w:t xml:space="preserve"> бюджет</w:t>
      </w:r>
      <w:r>
        <w:rPr>
          <w:sz w:val="28"/>
          <w:szCs w:val="28"/>
          <w:lang w:val="uk-UA"/>
        </w:rPr>
        <w:t>у</w:t>
      </w:r>
      <w:r w:rsidRPr="00CA1CF7">
        <w:rPr>
          <w:sz w:val="28"/>
          <w:szCs w:val="28"/>
          <w:lang w:val="uk-UA"/>
        </w:rPr>
        <w:t xml:space="preserve"> Смілянської міської територіальної громади. </w:t>
      </w:r>
    </w:p>
    <w:p w:rsidR="00B83D99" w:rsidRDefault="00B83D99" w:rsidP="00B83D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Програмою на 2022</w:t>
      </w:r>
      <w:r w:rsidRPr="00CA1CF7">
        <w:rPr>
          <w:rFonts w:ascii="Times New Roman" w:hAnsi="Times New Roman"/>
          <w:sz w:val="28"/>
          <w:szCs w:val="28"/>
          <w:lang w:val="uk-UA"/>
        </w:rPr>
        <w:t xml:space="preserve"> рік (із змінами) був затверджений обсяг коштів, який пропонували залучити на виконання заходів Програми у сумі </w:t>
      </w:r>
      <w:r>
        <w:rPr>
          <w:rFonts w:ascii="Times New Roman" w:hAnsi="Times New Roman"/>
          <w:sz w:val="28"/>
          <w:szCs w:val="28"/>
          <w:lang w:val="uk-UA"/>
        </w:rPr>
        <w:t>3 146,1</w:t>
      </w:r>
      <w:r w:rsidR="00F86006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CA1C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6006">
        <w:rPr>
          <w:rFonts w:ascii="Times New Roman" w:hAnsi="Times New Roman"/>
          <w:sz w:val="28"/>
          <w:szCs w:val="28"/>
          <w:lang w:val="uk-UA"/>
        </w:rPr>
        <w:t xml:space="preserve">гривень. </w:t>
      </w:r>
      <w:r w:rsidRPr="00CA1CF7">
        <w:rPr>
          <w:rFonts w:ascii="Times New Roman" w:hAnsi="Times New Roman"/>
          <w:sz w:val="28"/>
          <w:szCs w:val="28"/>
          <w:lang w:val="uk-UA"/>
        </w:rPr>
        <w:t>Фактично на здійснення заходів Прогр</w:t>
      </w:r>
      <w:r>
        <w:rPr>
          <w:rFonts w:ascii="Times New Roman" w:hAnsi="Times New Roman"/>
          <w:sz w:val="28"/>
          <w:szCs w:val="28"/>
          <w:lang w:val="uk-UA"/>
        </w:rPr>
        <w:t>ами було отримано  кошти в сумі 3078,6</w:t>
      </w:r>
      <w:r w:rsidR="00F86006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CA1C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6006">
        <w:rPr>
          <w:rFonts w:ascii="Times New Roman" w:hAnsi="Times New Roman"/>
          <w:sz w:val="28"/>
          <w:szCs w:val="28"/>
          <w:lang w:val="uk-UA"/>
        </w:rPr>
        <w:t>гривень</w:t>
      </w:r>
      <w:r w:rsidRPr="00CA1CF7">
        <w:rPr>
          <w:rFonts w:ascii="Times New Roman" w:hAnsi="Times New Roman"/>
          <w:sz w:val="28"/>
          <w:szCs w:val="28"/>
          <w:lang w:val="uk-UA"/>
        </w:rPr>
        <w:t>.</w:t>
      </w:r>
    </w:p>
    <w:p w:rsidR="00D44DA2" w:rsidRPr="0099581A" w:rsidRDefault="00D44DA2" w:rsidP="00D44DA2">
      <w:pPr>
        <w:shd w:val="clear" w:color="auto" w:fill="FFFFFF"/>
        <w:spacing w:after="0" w:line="240" w:lineRule="auto"/>
        <w:jc w:val="both"/>
        <w:rPr>
          <w:bCs/>
          <w:sz w:val="28"/>
          <w:szCs w:val="28"/>
          <w:lang w:val="uk-UA"/>
        </w:rPr>
        <w:sectPr w:rsidR="00D44DA2" w:rsidRPr="0099581A" w:rsidSect="00A4355E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86006" w:rsidRDefault="00596FE8" w:rsidP="00596FE8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  <w:r w:rsidRPr="00596FE8">
        <w:rPr>
          <w:bCs/>
          <w:szCs w:val="28"/>
          <w:lang w:val="uk-UA"/>
        </w:rPr>
        <w:lastRenderedPageBreak/>
        <w:t>Продовження додатка</w:t>
      </w:r>
    </w:p>
    <w:p w:rsidR="00596FE8" w:rsidRPr="00596FE8" w:rsidRDefault="00596FE8" w:rsidP="00596FE8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</w:p>
    <w:p w:rsidR="00D44DA2" w:rsidRPr="00485DAD" w:rsidRDefault="00D44DA2" w:rsidP="00485DAD">
      <w:pPr>
        <w:pStyle w:val="af1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485DAD">
        <w:rPr>
          <w:b/>
          <w:bCs/>
          <w:sz w:val="28"/>
          <w:szCs w:val="28"/>
          <w:lang w:val="uk-UA"/>
        </w:rPr>
        <w:t>Звіт</w:t>
      </w:r>
      <w:r w:rsidR="00485DAD">
        <w:rPr>
          <w:b/>
          <w:bCs/>
          <w:sz w:val="28"/>
          <w:szCs w:val="28"/>
          <w:lang w:val="uk-UA"/>
        </w:rPr>
        <w:t xml:space="preserve"> </w:t>
      </w:r>
      <w:r w:rsidRPr="00485DAD">
        <w:rPr>
          <w:b/>
          <w:bCs/>
          <w:sz w:val="28"/>
          <w:szCs w:val="28"/>
          <w:lang w:val="uk-UA"/>
        </w:rPr>
        <w:t xml:space="preserve"> п</w:t>
      </w:r>
      <w:r w:rsidR="0000336E">
        <w:rPr>
          <w:b/>
          <w:bCs/>
          <w:sz w:val="28"/>
          <w:szCs w:val="28"/>
          <w:lang w:val="uk-UA"/>
        </w:rPr>
        <w:t>р</w:t>
      </w:r>
      <w:r w:rsidR="00C6300F">
        <w:rPr>
          <w:b/>
          <w:bCs/>
          <w:sz w:val="28"/>
          <w:szCs w:val="28"/>
          <w:lang w:val="uk-UA"/>
        </w:rPr>
        <w:t>о виконанн</w:t>
      </w:r>
      <w:r w:rsidR="0000336E">
        <w:rPr>
          <w:b/>
          <w:bCs/>
          <w:sz w:val="28"/>
          <w:szCs w:val="28"/>
          <w:lang w:val="uk-UA"/>
        </w:rPr>
        <w:t>я</w:t>
      </w:r>
      <w:r w:rsidRPr="00485DAD">
        <w:rPr>
          <w:b/>
          <w:bCs/>
          <w:sz w:val="28"/>
          <w:szCs w:val="28"/>
          <w:lang w:val="uk-UA"/>
        </w:rPr>
        <w:t xml:space="preserve"> завдань і заходів  міської  Програми розвитку, підтримки та надання медичних послуг понад обсяг, передбачений програмою державних гарантій медичного обслуговування населення</w:t>
      </w:r>
      <w:r w:rsidR="00596FE8">
        <w:rPr>
          <w:b/>
          <w:bCs/>
          <w:sz w:val="28"/>
          <w:szCs w:val="28"/>
          <w:lang w:val="uk-UA"/>
        </w:rPr>
        <w:t xml:space="preserve">, </w:t>
      </w:r>
      <w:r w:rsidRPr="00485DAD">
        <w:rPr>
          <w:b/>
          <w:sz w:val="28"/>
          <w:szCs w:val="28"/>
          <w:lang w:val="uk-UA"/>
        </w:rPr>
        <w:t>комунального некомерційного підприємства</w:t>
      </w:r>
      <w:r w:rsidRPr="00485DAD">
        <w:rPr>
          <w:sz w:val="28"/>
          <w:szCs w:val="28"/>
          <w:lang w:val="uk-UA"/>
        </w:rPr>
        <w:t xml:space="preserve"> </w:t>
      </w:r>
      <w:r w:rsidRPr="00485DAD">
        <w:rPr>
          <w:b/>
          <w:bCs/>
          <w:sz w:val="28"/>
          <w:szCs w:val="28"/>
          <w:lang w:val="uk-UA"/>
        </w:rPr>
        <w:t xml:space="preserve"> «Смілянська міська стоматологічна поліклініка» Смілянської міської ради </w:t>
      </w:r>
    </w:p>
    <w:p w:rsidR="00D44DA2" w:rsidRDefault="00D44DA2" w:rsidP="00D44DA2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485DAD">
        <w:rPr>
          <w:b/>
          <w:bCs/>
          <w:sz w:val="28"/>
          <w:szCs w:val="28"/>
          <w:lang w:val="uk-UA"/>
        </w:rPr>
        <w:t>за 202</w:t>
      </w:r>
      <w:r w:rsidR="00596FE8">
        <w:rPr>
          <w:b/>
          <w:bCs/>
          <w:sz w:val="28"/>
          <w:szCs w:val="28"/>
          <w:lang w:val="uk-UA"/>
        </w:rPr>
        <w:t>2</w:t>
      </w:r>
      <w:r w:rsidRPr="00485DAD">
        <w:rPr>
          <w:b/>
          <w:bCs/>
          <w:sz w:val="28"/>
          <w:szCs w:val="28"/>
          <w:lang w:val="uk-UA"/>
        </w:rPr>
        <w:t xml:space="preserve"> рік</w:t>
      </w:r>
    </w:p>
    <w:p w:rsidR="000A3D05" w:rsidRPr="00FD1E42" w:rsidRDefault="000A3D05" w:rsidP="00D44DA2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2250"/>
        <w:gridCol w:w="2956"/>
        <w:gridCol w:w="1033"/>
        <w:gridCol w:w="1901"/>
        <w:gridCol w:w="2084"/>
        <w:gridCol w:w="1502"/>
        <w:gridCol w:w="2832"/>
      </w:tblGrid>
      <w:tr w:rsidR="00C50DAA" w:rsidRPr="003E53F0" w:rsidTr="00071B6B">
        <w:trPr>
          <w:trHeight w:val="1195"/>
        </w:trPr>
        <w:tc>
          <w:tcPr>
            <w:tcW w:w="153" w:type="pct"/>
          </w:tcPr>
          <w:p w:rsidR="00D83FFF" w:rsidRPr="00433318" w:rsidRDefault="00D83FFF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433318">
              <w:rPr>
                <w:b/>
                <w:bCs/>
                <w:lang w:val="uk-UA"/>
              </w:rPr>
              <w:t>№</w:t>
            </w:r>
          </w:p>
          <w:p w:rsidR="00D83FFF" w:rsidRPr="00433318" w:rsidRDefault="00D83FFF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9" w:type="pct"/>
          </w:tcPr>
          <w:p w:rsidR="00D83FFF" w:rsidRPr="00433318" w:rsidRDefault="00D83FFF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Напрями діяльності (пріоритетні завдання)</w:t>
            </w:r>
          </w:p>
        </w:tc>
        <w:tc>
          <w:tcPr>
            <w:tcW w:w="984" w:type="pct"/>
          </w:tcPr>
          <w:p w:rsidR="00D83FFF" w:rsidRPr="00433318" w:rsidRDefault="00D83FFF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D83FFF" w:rsidRPr="00433318" w:rsidRDefault="00D83FFF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344" w:type="pct"/>
          </w:tcPr>
          <w:p w:rsidR="00D83FFF" w:rsidRPr="00433318" w:rsidRDefault="00D83FFF" w:rsidP="000A3D05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Термін вико-нання</w:t>
            </w:r>
          </w:p>
        </w:tc>
        <w:tc>
          <w:tcPr>
            <w:tcW w:w="633" w:type="pct"/>
          </w:tcPr>
          <w:p w:rsidR="00D83FFF" w:rsidRPr="00433318" w:rsidRDefault="00D83FFF" w:rsidP="000A3D05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Заплан</w:t>
            </w:r>
            <w:r w:rsidR="0040503E">
              <w:rPr>
                <w:b/>
                <w:lang w:val="uk-UA"/>
              </w:rPr>
              <w:t>ова</w:t>
            </w:r>
            <w:r w:rsidRPr="00433318">
              <w:rPr>
                <w:b/>
                <w:lang w:val="uk-UA"/>
              </w:rPr>
              <w:t>ний обсяг  фінансування, тис.грн</w:t>
            </w:r>
          </w:p>
        </w:tc>
        <w:tc>
          <w:tcPr>
            <w:tcW w:w="694" w:type="pct"/>
          </w:tcPr>
          <w:p w:rsidR="0040503E" w:rsidRDefault="00D83FFF" w:rsidP="000A3D05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Фактично профінансовано у звітному періоді,</w:t>
            </w:r>
          </w:p>
          <w:p w:rsidR="00D83FFF" w:rsidRPr="00433318" w:rsidRDefault="00D83FFF" w:rsidP="000A3D05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тис.грн</w:t>
            </w:r>
          </w:p>
        </w:tc>
        <w:tc>
          <w:tcPr>
            <w:tcW w:w="500" w:type="pct"/>
          </w:tcPr>
          <w:p w:rsidR="00D83FFF" w:rsidRPr="00433318" w:rsidRDefault="00D83FFF" w:rsidP="000A3D05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Відсоток виконання,</w:t>
            </w:r>
          </w:p>
          <w:p w:rsidR="00D83FFF" w:rsidRPr="00433318" w:rsidRDefault="00D83FFF" w:rsidP="000A3D05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%</w:t>
            </w:r>
          </w:p>
        </w:tc>
        <w:tc>
          <w:tcPr>
            <w:tcW w:w="943" w:type="pct"/>
            <w:shd w:val="clear" w:color="auto" w:fill="auto"/>
          </w:tcPr>
          <w:p w:rsidR="00433318" w:rsidRDefault="00D83FFF" w:rsidP="0043331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 xml:space="preserve">Інформація про </w:t>
            </w:r>
          </w:p>
          <w:p w:rsidR="00433318" w:rsidRDefault="00D83FFF" w:rsidP="0043331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 xml:space="preserve">виконання або </w:t>
            </w:r>
          </w:p>
          <w:p w:rsidR="0040503E" w:rsidRDefault="00D83FFF" w:rsidP="0043331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 xml:space="preserve">причини </w:t>
            </w:r>
          </w:p>
          <w:p w:rsidR="0040503E" w:rsidRDefault="00433318" w:rsidP="0043331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перевиконання/</w:t>
            </w:r>
          </w:p>
          <w:p w:rsidR="0040503E" w:rsidRDefault="00D83FFF" w:rsidP="0043331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не</w:t>
            </w:r>
            <w:r w:rsidR="00433318" w:rsidRPr="00433318">
              <w:rPr>
                <w:b/>
                <w:lang w:val="uk-UA"/>
              </w:rPr>
              <w:t>до</w:t>
            </w:r>
            <w:r w:rsidRPr="00433318">
              <w:rPr>
                <w:b/>
                <w:lang w:val="uk-UA"/>
              </w:rPr>
              <w:t xml:space="preserve">виконання </w:t>
            </w:r>
          </w:p>
          <w:p w:rsidR="00D83FFF" w:rsidRPr="00433318" w:rsidRDefault="00D83FFF" w:rsidP="00433318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433318">
              <w:rPr>
                <w:b/>
                <w:lang w:val="uk-UA"/>
              </w:rPr>
              <w:t>заходу</w:t>
            </w:r>
          </w:p>
        </w:tc>
      </w:tr>
      <w:tr w:rsidR="00620C68" w:rsidRPr="003E53F0" w:rsidTr="00071B6B">
        <w:tc>
          <w:tcPr>
            <w:tcW w:w="153" w:type="pct"/>
          </w:tcPr>
          <w:p w:rsidR="00620C68" w:rsidRPr="003E53F0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F0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749" w:type="pct"/>
            <w:vMerge w:val="restart"/>
          </w:tcPr>
          <w:p w:rsidR="00620C68" w:rsidRDefault="00620C68" w:rsidP="00405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3F0">
              <w:rPr>
                <w:rFonts w:ascii="Times New Roman" w:hAnsi="Times New Roman"/>
                <w:sz w:val="24"/>
                <w:szCs w:val="24"/>
              </w:rPr>
              <w:t xml:space="preserve">Надання </w:t>
            </w:r>
          </w:p>
          <w:p w:rsidR="00620C68" w:rsidRPr="003E53F0" w:rsidRDefault="00620C68" w:rsidP="00405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F0">
              <w:rPr>
                <w:rFonts w:ascii="Times New Roman" w:hAnsi="Times New Roman"/>
                <w:sz w:val="24"/>
                <w:szCs w:val="24"/>
              </w:rPr>
              <w:t>фінансової підтримки комунальному некомерційному підприємству</w:t>
            </w:r>
          </w:p>
        </w:tc>
        <w:tc>
          <w:tcPr>
            <w:tcW w:w="984" w:type="pct"/>
          </w:tcPr>
          <w:p w:rsidR="00620C68" w:rsidRPr="003E53F0" w:rsidRDefault="00620C68" w:rsidP="002D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Оновлення </w:t>
            </w:r>
            <w:r w:rsidRPr="003E53F0">
              <w:rPr>
                <w:rFonts w:ascii="Times New Roman" w:hAnsi="Times New Roman"/>
                <w:sz w:val="24"/>
                <w:szCs w:val="24"/>
              </w:rPr>
              <w:t xml:space="preserve"> матеріально-технічої бази</w:t>
            </w:r>
            <w:r w:rsidRPr="003E53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E5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4" w:type="pct"/>
          </w:tcPr>
          <w:p w:rsidR="00620C68" w:rsidRPr="003E53F0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633" w:type="pct"/>
          </w:tcPr>
          <w:p w:rsidR="00620C68" w:rsidRPr="003E53F0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  <w:p w:rsidR="00620C68" w:rsidRPr="003E53F0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694" w:type="pct"/>
          </w:tcPr>
          <w:p w:rsidR="00620C68" w:rsidRPr="003E53F0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500" w:type="pct"/>
          </w:tcPr>
          <w:p w:rsidR="00620C68" w:rsidRPr="003E53F0" w:rsidRDefault="00620C68" w:rsidP="000A3D05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43" w:type="pct"/>
            <w:shd w:val="clear" w:color="auto" w:fill="auto"/>
          </w:tcPr>
          <w:p w:rsidR="00620C68" w:rsidRPr="00537425" w:rsidRDefault="00620C68" w:rsidP="001A5B87">
            <w:pPr>
              <w:rPr>
                <w:rFonts w:ascii="Times New Roman" w:hAnsi="Times New Roman"/>
                <w:lang w:val="uk-UA"/>
              </w:rPr>
            </w:pPr>
            <w:r w:rsidRPr="00537425">
              <w:rPr>
                <w:rFonts w:ascii="Times New Roman" w:hAnsi="Times New Roman"/>
                <w:sz w:val="24"/>
                <w:lang w:val="uk-UA"/>
              </w:rPr>
              <w:t>Виконано</w:t>
            </w:r>
          </w:p>
        </w:tc>
      </w:tr>
      <w:tr w:rsidR="00620C68" w:rsidRPr="003E53F0" w:rsidTr="00071B6B">
        <w:tc>
          <w:tcPr>
            <w:tcW w:w="153" w:type="pct"/>
          </w:tcPr>
          <w:p w:rsidR="00620C68" w:rsidRPr="003E53F0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Merge/>
          </w:tcPr>
          <w:p w:rsidR="00620C68" w:rsidRPr="003E53F0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620C68" w:rsidRPr="003E53F0" w:rsidRDefault="00620C68" w:rsidP="002D5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F0">
              <w:rPr>
                <w:rFonts w:ascii="Times New Roman" w:hAnsi="Times New Roman"/>
                <w:sz w:val="24"/>
                <w:szCs w:val="24"/>
              </w:rPr>
              <w:t>Поліпшення матеріально-технічної бази та прове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E53F0">
              <w:rPr>
                <w:rFonts w:ascii="Times New Roman" w:hAnsi="Times New Roman"/>
                <w:sz w:val="24"/>
                <w:szCs w:val="24"/>
              </w:rPr>
              <w:t>дення капітальних ремон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E53F0">
              <w:rPr>
                <w:rFonts w:ascii="Times New Roman" w:hAnsi="Times New Roman"/>
                <w:sz w:val="24"/>
                <w:szCs w:val="24"/>
              </w:rPr>
              <w:t>тів</w:t>
            </w:r>
            <w:r w:rsidRPr="003E53F0">
              <w:rPr>
                <w:rFonts w:ascii="Times New Roman" w:hAnsi="Times New Roman"/>
                <w:sz w:val="24"/>
                <w:szCs w:val="24"/>
                <w:lang w:val="uk-UA"/>
              </w:rPr>
              <w:t>, реконструкцій та рес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E53F0">
              <w:rPr>
                <w:rFonts w:ascii="Times New Roman" w:hAnsi="Times New Roman"/>
                <w:sz w:val="24"/>
                <w:szCs w:val="24"/>
                <w:lang w:val="uk-UA"/>
              </w:rPr>
              <w:t>таврацій, будівництва (придбання житла)</w:t>
            </w:r>
            <w:r w:rsidRPr="003E5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4" w:type="pct"/>
          </w:tcPr>
          <w:p w:rsidR="00620C68" w:rsidRPr="000655DA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633" w:type="pct"/>
          </w:tcPr>
          <w:p w:rsidR="00620C68" w:rsidRPr="003E53F0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94" w:type="pct"/>
          </w:tcPr>
          <w:p w:rsidR="00620C68" w:rsidRPr="003E53F0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00" w:type="pct"/>
          </w:tcPr>
          <w:p w:rsidR="00620C68" w:rsidRPr="003E53F0" w:rsidRDefault="00620C68" w:rsidP="000A3D05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43" w:type="pct"/>
            <w:shd w:val="clear" w:color="auto" w:fill="auto"/>
          </w:tcPr>
          <w:p w:rsidR="00620C68" w:rsidRPr="003E53F0" w:rsidRDefault="00620C68" w:rsidP="001A5B87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3E53F0">
              <w:rPr>
                <w:lang w:val="uk-UA"/>
              </w:rPr>
              <w:t xml:space="preserve"> </w:t>
            </w:r>
          </w:p>
        </w:tc>
      </w:tr>
      <w:tr w:rsidR="00620C68" w:rsidRPr="003E53F0" w:rsidTr="001A5B87">
        <w:tc>
          <w:tcPr>
            <w:tcW w:w="153" w:type="pct"/>
            <w:tcBorders>
              <w:bottom w:val="single" w:sz="4" w:space="0" w:color="auto"/>
            </w:tcBorders>
          </w:tcPr>
          <w:p w:rsidR="00620C68" w:rsidRPr="003E53F0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49" w:type="pct"/>
            <w:vMerge/>
          </w:tcPr>
          <w:p w:rsidR="00620C68" w:rsidRPr="003E53F0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:rsidR="00620C68" w:rsidRPr="003E53F0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F0">
              <w:rPr>
                <w:rFonts w:ascii="Times New Roman" w:hAnsi="Times New Roman"/>
                <w:sz w:val="24"/>
                <w:szCs w:val="24"/>
              </w:rPr>
              <w:t>Забезпечення видатками на оплату енергоносіїв та комунальних послуг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620C68" w:rsidRPr="000655DA" w:rsidRDefault="00620C68" w:rsidP="000A3D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:rsidR="00620C68" w:rsidRPr="003E53F0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341,6</w:t>
            </w: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:rsidR="00620C68" w:rsidRPr="003E53F0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296,0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620C68" w:rsidRPr="003E53F0" w:rsidRDefault="00620C68" w:rsidP="000A3D05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:rsidR="00620C68" w:rsidRPr="007A36AD" w:rsidRDefault="00620C68" w:rsidP="001A5B87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Неповне виконання за-ходу обумовлено еко-номією теплової енергії  на виконання програми енергозбереження та відповідно економією оплати енергоносіїв та комунальних послуг відповідно до затвер-дженої Програмою суми</w:t>
            </w:r>
          </w:p>
        </w:tc>
      </w:tr>
      <w:tr w:rsidR="00620C68" w:rsidRPr="003E53F0" w:rsidTr="00620C68">
        <w:tc>
          <w:tcPr>
            <w:tcW w:w="153" w:type="pct"/>
            <w:tcBorders>
              <w:bottom w:val="nil"/>
            </w:tcBorders>
          </w:tcPr>
          <w:p w:rsidR="00620C68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9" w:type="pct"/>
            <w:vMerge/>
            <w:tcBorders>
              <w:bottom w:val="nil"/>
            </w:tcBorders>
          </w:tcPr>
          <w:p w:rsidR="00620C68" w:rsidRPr="003E53F0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bottom w:val="nil"/>
            </w:tcBorders>
          </w:tcPr>
          <w:p w:rsidR="00620C68" w:rsidRPr="003E53F0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27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видатками на придбання </w:t>
            </w:r>
            <w:r w:rsidRPr="003E53F0">
              <w:rPr>
                <w:rFonts w:ascii="Times New Roman" w:hAnsi="Times New Roman"/>
                <w:sz w:val="24"/>
                <w:szCs w:val="24"/>
                <w:lang w:val="uk-UA"/>
              </w:rPr>
              <w:t>медикаментів та виробів медичного призначення</w:t>
            </w:r>
          </w:p>
        </w:tc>
        <w:tc>
          <w:tcPr>
            <w:tcW w:w="344" w:type="pct"/>
            <w:tcBorders>
              <w:bottom w:val="nil"/>
            </w:tcBorders>
          </w:tcPr>
          <w:p w:rsidR="00620C68" w:rsidRPr="00AB27EA" w:rsidRDefault="00620C68" w:rsidP="001A5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633" w:type="pct"/>
            <w:tcBorders>
              <w:bottom w:val="nil"/>
            </w:tcBorders>
          </w:tcPr>
          <w:p w:rsidR="00620C68" w:rsidRPr="003E53F0" w:rsidRDefault="00620C68" w:rsidP="001A5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423,6</w:t>
            </w:r>
          </w:p>
        </w:tc>
        <w:tc>
          <w:tcPr>
            <w:tcW w:w="694" w:type="pct"/>
            <w:tcBorders>
              <w:bottom w:val="nil"/>
            </w:tcBorders>
          </w:tcPr>
          <w:p w:rsidR="00620C68" w:rsidRPr="003E53F0" w:rsidRDefault="00620C68" w:rsidP="001A5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422,8</w:t>
            </w:r>
          </w:p>
        </w:tc>
        <w:tc>
          <w:tcPr>
            <w:tcW w:w="500" w:type="pct"/>
            <w:tcBorders>
              <w:bottom w:val="nil"/>
            </w:tcBorders>
          </w:tcPr>
          <w:p w:rsidR="00620C68" w:rsidRPr="003E53F0" w:rsidRDefault="00620C68" w:rsidP="001A5B87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99,8</w:t>
            </w:r>
          </w:p>
        </w:tc>
        <w:tc>
          <w:tcPr>
            <w:tcW w:w="943" w:type="pct"/>
            <w:tcBorders>
              <w:bottom w:val="nil"/>
            </w:tcBorders>
            <w:shd w:val="clear" w:color="auto" w:fill="auto"/>
          </w:tcPr>
          <w:p w:rsidR="00620C68" w:rsidRPr="00987B0F" w:rsidRDefault="00620C68" w:rsidP="000254DB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987B0F">
              <w:rPr>
                <w:lang w:val="uk-UA"/>
              </w:rPr>
              <w:t>Неповне виконання заходу об</w:t>
            </w:r>
            <w:r>
              <w:rPr>
                <w:lang w:val="uk-UA"/>
              </w:rPr>
              <w:t>у</w:t>
            </w:r>
            <w:r w:rsidRPr="00987B0F">
              <w:rPr>
                <w:lang w:val="uk-UA"/>
              </w:rPr>
              <w:t xml:space="preserve">мовлено </w:t>
            </w:r>
            <w:r>
              <w:rPr>
                <w:lang w:val="uk-UA"/>
              </w:rPr>
              <w:t>економією коштів  за результатами прове-</w:t>
            </w:r>
          </w:p>
        </w:tc>
      </w:tr>
      <w:tr w:rsidR="00620C68" w:rsidRPr="003E53F0" w:rsidTr="00620C68"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C68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C68" w:rsidRPr="003E53F0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C68" w:rsidRPr="00AB27EA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C68" w:rsidRDefault="00620C68" w:rsidP="001A5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C68" w:rsidRDefault="00620C68" w:rsidP="001A5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C68" w:rsidRDefault="00620C68" w:rsidP="00620C68">
            <w:pPr>
              <w:pStyle w:val="af1"/>
              <w:widowControl w:val="0"/>
              <w:shd w:val="clear" w:color="auto" w:fill="FFFFFF"/>
              <w:spacing w:before="0" w:beforeAutospacing="0" w:after="0" w:afterAutospacing="0"/>
              <w:jc w:val="right"/>
              <w:rPr>
                <w:bCs/>
                <w:szCs w:val="28"/>
                <w:lang w:val="uk-UA"/>
              </w:rPr>
            </w:pPr>
            <w:r w:rsidRPr="00596FE8">
              <w:rPr>
                <w:bCs/>
                <w:szCs w:val="28"/>
                <w:lang w:val="uk-UA"/>
              </w:rPr>
              <w:t>Продовження додатка</w:t>
            </w:r>
          </w:p>
          <w:p w:rsidR="00620C68" w:rsidRPr="00987B0F" w:rsidRDefault="00620C68" w:rsidP="000254DB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</w:tr>
      <w:tr w:rsidR="00E760A5" w:rsidRPr="003E53F0" w:rsidTr="00620C68">
        <w:trPr>
          <w:trHeight w:val="1195"/>
        </w:trPr>
        <w:tc>
          <w:tcPr>
            <w:tcW w:w="153" w:type="pct"/>
            <w:tcBorders>
              <w:top w:val="single" w:sz="4" w:space="0" w:color="auto"/>
            </w:tcBorders>
          </w:tcPr>
          <w:p w:rsidR="00E760A5" w:rsidRPr="00433318" w:rsidRDefault="00E760A5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433318">
              <w:rPr>
                <w:b/>
                <w:bCs/>
                <w:lang w:val="uk-UA"/>
              </w:rPr>
              <w:t>№</w:t>
            </w:r>
          </w:p>
          <w:p w:rsidR="00E760A5" w:rsidRPr="00433318" w:rsidRDefault="00E760A5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9" w:type="pct"/>
            <w:tcBorders>
              <w:top w:val="single" w:sz="4" w:space="0" w:color="auto"/>
            </w:tcBorders>
          </w:tcPr>
          <w:p w:rsidR="00E760A5" w:rsidRPr="00433318" w:rsidRDefault="00E760A5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Напрями діяльності (пріоритетні завдання)</w:t>
            </w:r>
          </w:p>
        </w:tc>
        <w:tc>
          <w:tcPr>
            <w:tcW w:w="984" w:type="pct"/>
            <w:tcBorders>
              <w:top w:val="single" w:sz="4" w:space="0" w:color="auto"/>
            </w:tcBorders>
          </w:tcPr>
          <w:p w:rsidR="00E760A5" w:rsidRPr="00433318" w:rsidRDefault="00E760A5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E760A5" w:rsidRPr="00433318" w:rsidRDefault="00E760A5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E760A5" w:rsidRPr="00433318" w:rsidRDefault="00E760A5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Термін вико-нання</w:t>
            </w:r>
          </w:p>
        </w:tc>
        <w:tc>
          <w:tcPr>
            <w:tcW w:w="633" w:type="pct"/>
            <w:tcBorders>
              <w:top w:val="single" w:sz="4" w:space="0" w:color="auto"/>
            </w:tcBorders>
          </w:tcPr>
          <w:p w:rsidR="00E760A5" w:rsidRPr="00433318" w:rsidRDefault="00E760A5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Заплан</w:t>
            </w:r>
            <w:r>
              <w:rPr>
                <w:b/>
                <w:lang w:val="uk-UA"/>
              </w:rPr>
              <w:t>ова</w:t>
            </w:r>
            <w:r w:rsidRPr="00433318">
              <w:rPr>
                <w:b/>
                <w:lang w:val="uk-UA"/>
              </w:rPr>
              <w:t>ний обсяг  фінансування, тис.грн</w:t>
            </w:r>
          </w:p>
        </w:tc>
        <w:tc>
          <w:tcPr>
            <w:tcW w:w="694" w:type="pct"/>
            <w:tcBorders>
              <w:top w:val="single" w:sz="4" w:space="0" w:color="auto"/>
            </w:tcBorders>
          </w:tcPr>
          <w:p w:rsidR="00E760A5" w:rsidRDefault="00E760A5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Фактично профінансовано у звітному періоді,</w:t>
            </w:r>
          </w:p>
          <w:p w:rsidR="00E760A5" w:rsidRPr="00433318" w:rsidRDefault="00E760A5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тис.грн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E760A5" w:rsidRPr="00433318" w:rsidRDefault="00E760A5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Відсоток виконання,</w:t>
            </w:r>
          </w:p>
          <w:p w:rsidR="00E760A5" w:rsidRPr="00433318" w:rsidRDefault="00E760A5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%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:rsidR="00E760A5" w:rsidRDefault="00E760A5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 xml:space="preserve">Інформація про </w:t>
            </w:r>
          </w:p>
          <w:p w:rsidR="00E760A5" w:rsidRDefault="00E760A5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 xml:space="preserve">виконання або </w:t>
            </w:r>
          </w:p>
          <w:p w:rsidR="00E760A5" w:rsidRDefault="00E760A5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 xml:space="preserve">причини </w:t>
            </w:r>
          </w:p>
          <w:p w:rsidR="00E760A5" w:rsidRDefault="00E760A5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перевиконання/</w:t>
            </w:r>
          </w:p>
          <w:p w:rsidR="00E760A5" w:rsidRDefault="00E760A5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 xml:space="preserve">недовиконання </w:t>
            </w:r>
          </w:p>
          <w:p w:rsidR="00E760A5" w:rsidRPr="00433318" w:rsidRDefault="00E760A5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433318">
              <w:rPr>
                <w:b/>
                <w:lang w:val="uk-UA"/>
              </w:rPr>
              <w:t>заходу</w:t>
            </w:r>
          </w:p>
        </w:tc>
      </w:tr>
      <w:tr w:rsidR="00620C68" w:rsidRPr="003E53F0" w:rsidTr="000254DB">
        <w:trPr>
          <w:trHeight w:val="507"/>
        </w:trPr>
        <w:tc>
          <w:tcPr>
            <w:tcW w:w="153" w:type="pct"/>
            <w:tcBorders>
              <w:top w:val="single" w:sz="4" w:space="0" w:color="auto"/>
            </w:tcBorders>
          </w:tcPr>
          <w:p w:rsidR="00620C68" w:rsidRPr="00433318" w:rsidRDefault="00620C68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</w:tcBorders>
          </w:tcPr>
          <w:p w:rsidR="00620C68" w:rsidRPr="00433318" w:rsidRDefault="00620C68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</w:tcPr>
          <w:p w:rsidR="00620C68" w:rsidRPr="00433318" w:rsidRDefault="00620C68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620C68" w:rsidRPr="00433318" w:rsidRDefault="00620C68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633" w:type="pct"/>
            <w:tcBorders>
              <w:top w:val="single" w:sz="4" w:space="0" w:color="auto"/>
            </w:tcBorders>
          </w:tcPr>
          <w:p w:rsidR="00620C68" w:rsidRPr="00433318" w:rsidRDefault="00620C68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694" w:type="pct"/>
            <w:tcBorders>
              <w:top w:val="single" w:sz="4" w:space="0" w:color="auto"/>
            </w:tcBorders>
          </w:tcPr>
          <w:p w:rsidR="00620C68" w:rsidRPr="00433318" w:rsidRDefault="00620C68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620C68" w:rsidRPr="00433318" w:rsidRDefault="00620C68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:rsidR="00620C68" w:rsidRPr="00433318" w:rsidRDefault="00620C68" w:rsidP="000254DB">
            <w:pPr>
              <w:pStyle w:val="af1"/>
              <w:widowControl w:val="0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lang w:val="uk-UA"/>
              </w:rPr>
              <w:t>дених процедур закупівлі медикаментів</w:t>
            </w:r>
          </w:p>
        </w:tc>
      </w:tr>
      <w:tr w:rsidR="00620C68" w:rsidRPr="003E53F0" w:rsidTr="00071B6B">
        <w:tc>
          <w:tcPr>
            <w:tcW w:w="153" w:type="pct"/>
          </w:tcPr>
          <w:p w:rsidR="00620C68" w:rsidRPr="003E53F0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49" w:type="pct"/>
            <w:vMerge/>
          </w:tcPr>
          <w:p w:rsidR="00620C68" w:rsidRPr="003E53F0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620C68" w:rsidRPr="003E53F0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3F0">
              <w:rPr>
                <w:rFonts w:ascii="Times New Roman" w:hAnsi="Times New Roman"/>
                <w:sz w:val="24"/>
                <w:szCs w:val="24"/>
              </w:rPr>
              <w:t xml:space="preserve">Забезпечення видатками на придбання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предметів, матеріалів, обладнання та інвентарю</w:t>
            </w:r>
          </w:p>
        </w:tc>
        <w:tc>
          <w:tcPr>
            <w:tcW w:w="344" w:type="pct"/>
          </w:tcPr>
          <w:p w:rsidR="00620C68" w:rsidRPr="000655DA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633" w:type="pct"/>
          </w:tcPr>
          <w:p w:rsidR="00620C68" w:rsidRPr="003E53F0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266,7</w:t>
            </w:r>
          </w:p>
        </w:tc>
        <w:tc>
          <w:tcPr>
            <w:tcW w:w="694" w:type="pct"/>
          </w:tcPr>
          <w:p w:rsidR="00620C68" w:rsidRPr="003E53F0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266,6</w:t>
            </w:r>
          </w:p>
        </w:tc>
        <w:tc>
          <w:tcPr>
            <w:tcW w:w="500" w:type="pct"/>
          </w:tcPr>
          <w:p w:rsidR="00620C68" w:rsidRPr="003E53F0" w:rsidRDefault="00620C68" w:rsidP="000A3D05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43" w:type="pct"/>
            <w:shd w:val="clear" w:color="auto" w:fill="auto"/>
          </w:tcPr>
          <w:p w:rsidR="00620C68" w:rsidRPr="00987B0F" w:rsidRDefault="00620C68" w:rsidP="001A5B87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620C68" w:rsidRPr="003E53F0" w:rsidTr="00071B6B">
        <w:trPr>
          <w:trHeight w:val="1899"/>
        </w:trPr>
        <w:tc>
          <w:tcPr>
            <w:tcW w:w="153" w:type="pct"/>
          </w:tcPr>
          <w:p w:rsidR="00620C68" w:rsidRPr="003E53F0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49" w:type="pct"/>
            <w:vMerge/>
          </w:tcPr>
          <w:p w:rsidR="00620C68" w:rsidRPr="003E53F0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620C68" w:rsidRPr="003E53F0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3F0">
              <w:rPr>
                <w:rFonts w:ascii="Times New Roman" w:hAnsi="Times New Roman"/>
                <w:sz w:val="24"/>
                <w:szCs w:val="24"/>
              </w:rPr>
              <w:t>Забезпечення видатками на виконання Прог</w:t>
            </w:r>
            <w:r>
              <w:rPr>
                <w:rFonts w:ascii="Times New Roman" w:hAnsi="Times New Roman"/>
                <w:sz w:val="24"/>
                <w:szCs w:val="24"/>
              </w:rPr>
              <w:t>рами «Призовна дільниця»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E53F0">
              <w:rPr>
                <w:rFonts w:ascii="Times New Roman" w:hAnsi="Times New Roman"/>
                <w:sz w:val="24"/>
                <w:szCs w:val="24"/>
              </w:rPr>
              <w:t xml:space="preserve"> роки, затвердженої рішенням міської ради від 25.04.2019 № 97-1/</w:t>
            </w:r>
            <w:r w:rsidRPr="003E53F0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E53F0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3E53F0">
              <w:rPr>
                <w:rFonts w:ascii="Times New Roman" w:hAnsi="Times New Roman"/>
                <w:sz w:val="24"/>
                <w:szCs w:val="24"/>
              </w:rPr>
              <w:t xml:space="preserve"> змінами)</w:t>
            </w:r>
          </w:p>
        </w:tc>
        <w:tc>
          <w:tcPr>
            <w:tcW w:w="344" w:type="pct"/>
          </w:tcPr>
          <w:p w:rsidR="00620C68" w:rsidRPr="003E53F0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633" w:type="pct"/>
          </w:tcPr>
          <w:p w:rsidR="00620C68" w:rsidRPr="003E53F0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271,2</w:t>
            </w:r>
          </w:p>
        </w:tc>
        <w:tc>
          <w:tcPr>
            <w:tcW w:w="694" w:type="pct"/>
          </w:tcPr>
          <w:p w:rsidR="00620C68" w:rsidRPr="003E53F0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271,2</w:t>
            </w:r>
          </w:p>
        </w:tc>
        <w:tc>
          <w:tcPr>
            <w:tcW w:w="500" w:type="pct"/>
          </w:tcPr>
          <w:p w:rsidR="00620C68" w:rsidRPr="003E53F0" w:rsidRDefault="00620C68" w:rsidP="000A3D05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43" w:type="pct"/>
            <w:shd w:val="clear" w:color="auto" w:fill="auto"/>
          </w:tcPr>
          <w:p w:rsidR="00620C68" w:rsidRPr="003E53F0" w:rsidRDefault="00620C68" w:rsidP="001A5B87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620C68" w:rsidRPr="003E53F0" w:rsidTr="00071B6B">
        <w:tc>
          <w:tcPr>
            <w:tcW w:w="153" w:type="pct"/>
          </w:tcPr>
          <w:p w:rsidR="00620C68" w:rsidRPr="003E53F0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49" w:type="pct"/>
            <w:vMerge/>
          </w:tcPr>
          <w:p w:rsidR="00620C68" w:rsidRPr="003E53F0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620C68" w:rsidRPr="003E53F0" w:rsidRDefault="00620C6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3F0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видатками на збільшення обігових коштів</w:t>
            </w:r>
          </w:p>
        </w:tc>
        <w:tc>
          <w:tcPr>
            <w:tcW w:w="344" w:type="pct"/>
          </w:tcPr>
          <w:p w:rsidR="00620C68" w:rsidRPr="003E53F0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633" w:type="pct"/>
          </w:tcPr>
          <w:p w:rsidR="00620C68" w:rsidRPr="003E53F0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1100,1</w:t>
            </w:r>
          </w:p>
        </w:tc>
        <w:tc>
          <w:tcPr>
            <w:tcW w:w="694" w:type="pct"/>
          </w:tcPr>
          <w:p w:rsidR="00620C68" w:rsidRPr="003E53F0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1100,1</w:t>
            </w:r>
          </w:p>
          <w:p w:rsidR="00620C68" w:rsidRPr="003E53F0" w:rsidRDefault="00620C68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pct"/>
          </w:tcPr>
          <w:p w:rsidR="00620C68" w:rsidRPr="003E53F0" w:rsidRDefault="00620C68" w:rsidP="000A3D05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  <w:p w:rsidR="00620C68" w:rsidRPr="003E53F0" w:rsidRDefault="00620C68" w:rsidP="000A3D05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43" w:type="pct"/>
            <w:shd w:val="clear" w:color="auto" w:fill="auto"/>
          </w:tcPr>
          <w:p w:rsidR="00620C68" w:rsidRPr="003E53F0" w:rsidRDefault="00620C68" w:rsidP="001A5B87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E760A5" w:rsidRPr="003E53F0" w:rsidTr="00071B6B">
        <w:tc>
          <w:tcPr>
            <w:tcW w:w="153" w:type="pct"/>
          </w:tcPr>
          <w:p w:rsidR="00E760A5" w:rsidRPr="003E53F0" w:rsidRDefault="00E760A5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3F0">
              <w:rPr>
                <w:rFonts w:ascii="Times New Roman" w:hAnsi="Times New Roman"/>
                <w:sz w:val="24"/>
                <w:szCs w:val="24"/>
              </w:rPr>
              <w:t>I</w:t>
            </w:r>
            <w:r w:rsidRPr="00563D1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749" w:type="pct"/>
            <w:vMerge w:val="restart"/>
          </w:tcPr>
          <w:p w:rsidR="00E760A5" w:rsidRPr="00563D18" w:rsidRDefault="00E760A5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D18">
              <w:rPr>
                <w:rFonts w:ascii="Times New Roman" w:hAnsi="Times New Roman"/>
                <w:sz w:val="24"/>
                <w:szCs w:val="24"/>
                <w:lang w:val="uk-UA"/>
              </w:rPr>
              <w:t>Зменшення поширеності інфекційних хвороб</w:t>
            </w:r>
          </w:p>
        </w:tc>
        <w:tc>
          <w:tcPr>
            <w:tcW w:w="984" w:type="pct"/>
            <w:vMerge w:val="restart"/>
          </w:tcPr>
          <w:p w:rsidR="00E760A5" w:rsidRPr="003E53F0" w:rsidRDefault="00E760A5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F0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засобами  індивідуального захисту, дезінфікуючих засобів, виробів медичного при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значення, пробірками ПЛР тестів</w:t>
            </w:r>
          </w:p>
        </w:tc>
        <w:tc>
          <w:tcPr>
            <w:tcW w:w="344" w:type="pct"/>
            <w:vMerge w:val="restart"/>
          </w:tcPr>
          <w:p w:rsidR="00E760A5" w:rsidRPr="003E53F0" w:rsidRDefault="00E760A5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633" w:type="pct"/>
            <w:vMerge w:val="restart"/>
          </w:tcPr>
          <w:p w:rsidR="00E760A5" w:rsidRPr="00F93F7F" w:rsidRDefault="00E760A5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68,8</w:t>
            </w:r>
          </w:p>
          <w:p w:rsidR="00E760A5" w:rsidRPr="003E53F0" w:rsidRDefault="00E760A5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  <w:vMerge w:val="restart"/>
          </w:tcPr>
          <w:p w:rsidR="00E760A5" w:rsidRPr="003E53F0" w:rsidRDefault="00E760A5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68,8</w:t>
            </w:r>
          </w:p>
        </w:tc>
        <w:tc>
          <w:tcPr>
            <w:tcW w:w="500" w:type="pct"/>
            <w:vMerge w:val="restart"/>
          </w:tcPr>
          <w:p w:rsidR="00E760A5" w:rsidRPr="003E53F0" w:rsidRDefault="00E760A5" w:rsidP="000A3D05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43" w:type="pct"/>
            <w:vMerge w:val="restart"/>
            <w:shd w:val="clear" w:color="auto" w:fill="auto"/>
          </w:tcPr>
          <w:p w:rsidR="00E760A5" w:rsidRPr="003E53F0" w:rsidRDefault="00E760A5" w:rsidP="001A5B87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E760A5" w:rsidRPr="003E53F0" w:rsidTr="00A24837">
        <w:tc>
          <w:tcPr>
            <w:tcW w:w="153" w:type="pct"/>
            <w:tcBorders>
              <w:bottom w:val="nil"/>
            </w:tcBorders>
          </w:tcPr>
          <w:p w:rsidR="00E760A5" w:rsidRPr="003E53F0" w:rsidRDefault="00E760A5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3F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49" w:type="pct"/>
            <w:vMerge/>
            <w:tcBorders>
              <w:bottom w:val="nil"/>
            </w:tcBorders>
          </w:tcPr>
          <w:p w:rsidR="00E760A5" w:rsidRPr="003E53F0" w:rsidRDefault="00E760A5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  <w:tcBorders>
              <w:bottom w:val="nil"/>
            </w:tcBorders>
          </w:tcPr>
          <w:p w:rsidR="00E760A5" w:rsidRPr="003E53F0" w:rsidRDefault="00E760A5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" w:type="pct"/>
            <w:vMerge/>
            <w:tcBorders>
              <w:bottom w:val="nil"/>
            </w:tcBorders>
          </w:tcPr>
          <w:p w:rsidR="00E760A5" w:rsidRPr="003E53F0" w:rsidRDefault="00E760A5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3" w:type="pct"/>
            <w:vMerge/>
            <w:tcBorders>
              <w:bottom w:val="nil"/>
            </w:tcBorders>
          </w:tcPr>
          <w:p w:rsidR="00E760A5" w:rsidRPr="003E53F0" w:rsidRDefault="00E760A5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bottom w:val="nil"/>
            </w:tcBorders>
          </w:tcPr>
          <w:p w:rsidR="00E760A5" w:rsidRPr="003E53F0" w:rsidRDefault="00E760A5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bottom w:val="nil"/>
            </w:tcBorders>
          </w:tcPr>
          <w:p w:rsidR="00E760A5" w:rsidRPr="003E53F0" w:rsidRDefault="00E760A5" w:rsidP="000A3D05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43" w:type="pct"/>
            <w:vMerge/>
            <w:tcBorders>
              <w:bottom w:val="nil"/>
            </w:tcBorders>
            <w:shd w:val="clear" w:color="auto" w:fill="auto"/>
          </w:tcPr>
          <w:p w:rsidR="00E760A5" w:rsidRPr="003E53F0" w:rsidRDefault="00E760A5" w:rsidP="001A5B87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</w:tr>
      <w:tr w:rsidR="000717D7" w:rsidRPr="003E53F0" w:rsidTr="00123B17">
        <w:tc>
          <w:tcPr>
            <w:tcW w:w="153" w:type="pct"/>
            <w:tcBorders>
              <w:bottom w:val="nil"/>
            </w:tcBorders>
          </w:tcPr>
          <w:p w:rsidR="000717D7" w:rsidRPr="003E53F0" w:rsidRDefault="000717D7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49" w:type="pct"/>
            <w:tcBorders>
              <w:bottom w:val="nil"/>
            </w:tcBorders>
          </w:tcPr>
          <w:p w:rsidR="000717D7" w:rsidRPr="007A36AD" w:rsidRDefault="000717D7" w:rsidP="0007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Медична та соціальна реабілітація хворих, </w:t>
            </w:r>
          </w:p>
        </w:tc>
        <w:tc>
          <w:tcPr>
            <w:tcW w:w="984" w:type="pct"/>
            <w:tcBorders>
              <w:bottom w:val="nil"/>
            </w:tcBorders>
          </w:tcPr>
          <w:p w:rsidR="000717D7" w:rsidRPr="007A36AD" w:rsidRDefault="000717D7" w:rsidP="0086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3F0">
              <w:rPr>
                <w:rFonts w:ascii="Times New Roman" w:hAnsi="Times New Roman"/>
                <w:sz w:val="24"/>
                <w:szCs w:val="24"/>
                <w:lang w:val="uk-UA"/>
              </w:rPr>
              <w:t>Оплата інших послуг, крім комунальних (поточний ремонт приміщень,</w:t>
            </w:r>
            <w:r w:rsidRPr="007A36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E53F0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7A36AD">
              <w:rPr>
                <w:rFonts w:ascii="Times New Roman" w:hAnsi="Times New Roman"/>
                <w:sz w:val="24"/>
                <w:szCs w:val="24"/>
                <w:lang w:val="uk-UA"/>
              </w:rPr>
              <w:t>абезпеч</w:t>
            </w:r>
            <w:r w:rsidRPr="003E53F0">
              <w:rPr>
                <w:rFonts w:ascii="Times New Roman" w:hAnsi="Times New Roman"/>
                <w:sz w:val="24"/>
                <w:szCs w:val="24"/>
                <w:lang w:val="uk-UA"/>
              </w:rPr>
              <w:t>ення</w:t>
            </w:r>
            <w:r w:rsidRPr="007A36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4" w:type="pct"/>
            <w:tcBorders>
              <w:bottom w:val="nil"/>
            </w:tcBorders>
          </w:tcPr>
          <w:p w:rsidR="000717D7" w:rsidRDefault="000717D7" w:rsidP="001A5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  <w:p w:rsidR="000717D7" w:rsidRDefault="000717D7" w:rsidP="001A5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17D7" w:rsidRDefault="000717D7" w:rsidP="001A5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17D7" w:rsidRPr="000655DA" w:rsidRDefault="000717D7" w:rsidP="0012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3" w:type="pct"/>
            <w:tcBorders>
              <w:bottom w:val="nil"/>
            </w:tcBorders>
          </w:tcPr>
          <w:p w:rsidR="000717D7" w:rsidRPr="003E53F0" w:rsidRDefault="000717D7" w:rsidP="001A5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474,1</w:t>
            </w:r>
          </w:p>
        </w:tc>
        <w:tc>
          <w:tcPr>
            <w:tcW w:w="694" w:type="pct"/>
            <w:tcBorders>
              <w:bottom w:val="nil"/>
            </w:tcBorders>
          </w:tcPr>
          <w:p w:rsidR="000717D7" w:rsidRPr="003E53F0" w:rsidRDefault="000717D7" w:rsidP="001A5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453,2</w:t>
            </w:r>
          </w:p>
        </w:tc>
        <w:tc>
          <w:tcPr>
            <w:tcW w:w="500" w:type="pct"/>
            <w:tcBorders>
              <w:bottom w:val="nil"/>
            </w:tcBorders>
          </w:tcPr>
          <w:p w:rsidR="000717D7" w:rsidRPr="003E53F0" w:rsidRDefault="000717D7" w:rsidP="001A5B87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E53F0">
              <w:rPr>
                <w:lang w:val="uk-UA"/>
              </w:rPr>
              <w:t>95</w:t>
            </w:r>
            <w:r>
              <w:rPr>
                <w:lang w:val="uk-UA"/>
              </w:rPr>
              <w:t>,6</w:t>
            </w:r>
          </w:p>
        </w:tc>
        <w:tc>
          <w:tcPr>
            <w:tcW w:w="943" w:type="pct"/>
            <w:tcBorders>
              <w:bottom w:val="nil"/>
            </w:tcBorders>
            <w:shd w:val="clear" w:color="auto" w:fill="auto"/>
          </w:tcPr>
          <w:p w:rsidR="000717D7" w:rsidRPr="00987B0F" w:rsidRDefault="000717D7" w:rsidP="00866F38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987B0F">
              <w:rPr>
                <w:lang w:val="uk-UA"/>
              </w:rPr>
              <w:t>Неповне виконання заходу об</w:t>
            </w:r>
            <w:r>
              <w:rPr>
                <w:lang w:val="uk-UA"/>
              </w:rPr>
              <w:t>у</w:t>
            </w:r>
            <w:r w:rsidRPr="00987B0F">
              <w:rPr>
                <w:lang w:val="uk-UA"/>
              </w:rPr>
              <w:t xml:space="preserve">мовлено </w:t>
            </w:r>
            <w:r>
              <w:rPr>
                <w:lang w:val="uk-UA"/>
              </w:rPr>
              <w:t xml:space="preserve">економією коштів  за результатами </w:t>
            </w:r>
          </w:p>
        </w:tc>
      </w:tr>
      <w:tr w:rsidR="00123B17" w:rsidRPr="003E53F0" w:rsidTr="00123B17"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123B17" w:rsidRDefault="00123B17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</w:tcPr>
          <w:p w:rsidR="00123B17" w:rsidRDefault="00123B17" w:rsidP="0007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</w:tcPr>
          <w:p w:rsidR="00123B17" w:rsidRPr="003E53F0" w:rsidRDefault="00123B17" w:rsidP="0086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123B17" w:rsidRDefault="00123B17" w:rsidP="001A5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123B17" w:rsidRDefault="00123B17" w:rsidP="001A5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17" w:rsidRDefault="00123B17" w:rsidP="00123B17">
            <w:pPr>
              <w:pStyle w:val="af1"/>
              <w:widowControl w:val="0"/>
              <w:shd w:val="clear" w:color="auto" w:fill="FFFFFF"/>
              <w:spacing w:before="0" w:beforeAutospacing="0" w:after="0" w:afterAutospacing="0"/>
              <w:jc w:val="right"/>
              <w:rPr>
                <w:bCs/>
                <w:szCs w:val="28"/>
                <w:lang w:val="uk-UA"/>
              </w:rPr>
            </w:pPr>
            <w:r w:rsidRPr="00596FE8">
              <w:rPr>
                <w:bCs/>
                <w:szCs w:val="28"/>
                <w:lang w:val="uk-UA"/>
              </w:rPr>
              <w:t>Продовження додатка</w:t>
            </w:r>
          </w:p>
          <w:p w:rsidR="00123B17" w:rsidRPr="00987B0F" w:rsidRDefault="00123B17" w:rsidP="00866F38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</w:tr>
      <w:tr w:rsidR="000717D7" w:rsidRPr="003E53F0" w:rsidTr="00A24837">
        <w:tc>
          <w:tcPr>
            <w:tcW w:w="153" w:type="pct"/>
            <w:tcBorders>
              <w:top w:val="single" w:sz="4" w:space="0" w:color="auto"/>
            </w:tcBorders>
          </w:tcPr>
          <w:p w:rsidR="000717D7" w:rsidRPr="00433318" w:rsidRDefault="000717D7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433318">
              <w:rPr>
                <w:b/>
                <w:bCs/>
                <w:lang w:val="uk-UA"/>
              </w:rPr>
              <w:t>№</w:t>
            </w:r>
          </w:p>
          <w:p w:rsidR="000717D7" w:rsidRPr="00433318" w:rsidRDefault="000717D7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49" w:type="pct"/>
            <w:tcBorders>
              <w:top w:val="single" w:sz="4" w:space="0" w:color="auto"/>
            </w:tcBorders>
          </w:tcPr>
          <w:p w:rsidR="000717D7" w:rsidRPr="00433318" w:rsidRDefault="000717D7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Напрями діяльності (пріоритетні завдання)</w:t>
            </w:r>
          </w:p>
        </w:tc>
        <w:tc>
          <w:tcPr>
            <w:tcW w:w="984" w:type="pct"/>
            <w:tcBorders>
              <w:top w:val="single" w:sz="4" w:space="0" w:color="auto"/>
            </w:tcBorders>
          </w:tcPr>
          <w:p w:rsidR="000717D7" w:rsidRPr="00433318" w:rsidRDefault="000717D7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0717D7" w:rsidRPr="00433318" w:rsidRDefault="000717D7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0717D7" w:rsidRPr="00433318" w:rsidRDefault="000717D7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Термін вико-нання</w:t>
            </w:r>
          </w:p>
        </w:tc>
        <w:tc>
          <w:tcPr>
            <w:tcW w:w="633" w:type="pct"/>
            <w:tcBorders>
              <w:top w:val="single" w:sz="4" w:space="0" w:color="auto"/>
            </w:tcBorders>
          </w:tcPr>
          <w:p w:rsidR="000717D7" w:rsidRPr="00433318" w:rsidRDefault="000717D7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Заплан</w:t>
            </w:r>
            <w:r>
              <w:rPr>
                <w:b/>
                <w:lang w:val="uk-UA"/>
              </w:rPr>
              <w:t>ова</w:t>
            </w:r>
            <w:r w:rsidRPr="00433318">
              <w:rPr>
                <w:b/>
                <w:lang w:val="uk-UA"/>
              </w:rPr>
              <w:t>ний обсяг  фінансування, тис.грн</w:t>
            </w:r>
          </w:p>
        </w:tc>
        <w:tc>
          <w:tcPr>
            <w:tcW w:w="694" w:type="pct"/>
            <w:tcBorders>
              <w:top w:val="single" w:sz="4" w:space="0" w:color="auto"/>
            </w:tcBorders>
          </w:tcPr>
          <w:p w:rsidR="000717D7" w:rsidRDefault="000717D7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Фактично профінансовано у звітному періоді,</w:t>
            </w:r>
          </w:p>
          <w:p w:rsidR="000717D7" w:rsidRPr="00433318" w:rsidRDefault="000717D7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тис.грн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0717D7" w:rsidRPr="00433318" w:rsidRDefault="000717D7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Відсоток виконання,</w:t>
            </w:r>
          </w:p>
          <w:p w:rsidR="000717D7" w:rsidRPr="00433318" w:rsidRDefault="000717D7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%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:rsidR="000717D7" w:rsidRDefault="000717D7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 xml:space="preserve">Інформація про </w:t>
            </w:r>
          </w:p>
          <w:p w:rsidR="000717D7" w:rsidRDefault="000717D7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 xml:space="preserve">виконання або </w:t>
            </w:r>
          </w:p>
          <w:p w:rsidR="000717D7" w:rsidRDefault="000717D7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 xml:space="preserve">причини </w:t>
            </w:r>
          </w:p>
          <w:p w:rsidR="000717D7" w:rsidRDefault="000717D7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>перевиконання/</w:t>
            </w:r>
          </w:p>
          <w:p w:rsidR="000717D7" w:rsidRDefault="000717D7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33318">
              <w:rPr>
                <w:b/>
                <w:lang w:val="uk-UA"/>
              </w:rPr>
              <w:t xml:space="preserve">недовиконання </w:t>
            </w:r>
          </w:p>
          <w:p w:rsidR="000717D7" w:rsidRPr="00433318" w:rsidRDefault="000717D7" w:rsidP="001A5B87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433318">
              <w:rPr>
                <w:b/>
                <w:lang w:val="uk-UA"/>
              </w:rPr>
              <w:t>заходу</w:t>
            </w:r>
          </w:p>
        </w:tc>
      </w:tr>
      <w:tr w:rsidR="000717D7" w:rsidRPr="003E53F0" w:rsidTr="00071B6B">
        <w:tc>
          <w:tcPr>
            <w:tcW w:w="153" w:type="pct"/>
          </w:tcPr>
          <w:p w:rsidR="000717D7" w:rsidRPr="003E53F0" w:rsidRDefault="000717D7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49" w:type="pct"/>
          </w:tcPr>
          <w:p w:rsidR="000717D7" w:rsidRPr="007A36AD" w:rsidRDefault="000717D7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умов їх перебування в лікувальному закладі та соціумі</w:t>
            </w:r>
          </w:p>
        </w:tc>
        <w:tc>
          <w:tcPr>
            <w:tcW w:w="984" w:type="pct"/>
          </w:tcPr>
          <w:p w:rsidR="000717D7" w:rsidRPr="007A36AD" w:rsidRDefault="00866F38" w:rsidP="001A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36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обов’язкових профілактичних медичних оглядів </w:t>
            </w:r>
            <w:r w:rsidRPr="003E53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працівників підприємств) </w:t>
            </w:r>
            <w:r w:rsidRPr="007A36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виконання статті 21 Закону України «Про захист населення від</w:t>
            </w:r>
            <w:r w:rsidRPr="003E53F0">
              <w:rPr>
                <w:rFonts w:ascii="Times New Roman" w:hAnsi="Times New Roman"/>
                <w:sz w:val="24"/>
                <w:szCs w:val="24"/>
              </w:rPr>
              <w:t> </w:t>
            </w:r>
            <w:r w:rsidRPr="007A36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інфекційних хвороб»</w:t>
            </w:r>
            <w:r w:rsidRPr="003E53F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A36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постановою Кабінету Міністрів України від</w:t>
            </w:r>
            <w:r w:rsidRPr="003E53F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7A36AD">
              <w:rPr>
                <w:rFonts w:ascii="Times New Roman" w:hAnsi="Times New Roman"/>
                <w:sz w:val="24"/>
                <w:szCs w:val="24"/>
                <w:lang w:val="uk-UA"/>
              </w:rPr>
              <w:t>23.05.2001 №</w:t>
            </w:r>
            <w:r w:rsidRPr="003E53F0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7A36AD">
              <w:rPr>
                <w:rFonts w:ascii="Times New Roman" w:hAnsi="Times New Roman"/>
                <w:sz w:val="24"/>
                <w:szCs w:val="24"/>
                <w:lang w:val="uk-UA"/>
              </w:rPr>
              <w:t>559 затверджено Перелік професій, виробництв та організацій, працівники яких підлягають обов’язковим профілактичним медичним оглядам</w:t>
            </w:r>
          </w:p>
        </w:tc>
        <w:tc>
          <w:tcPr>
            <w:tcW w:w="344" w:type="pct"/>
          </w:tcPr>
          <w:p w:rsidR="000717D7" w:rsidRPr="000655DA" w:rsidRDefault="000717D7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3" w:type="pct"/>
          </w:tcPr>
          <w:p w:rsidR="000717D7" w:rsidRPr="003E53F0" w:rsidRDefault="000717D7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4" w:type="pct"/>
          </w:tcPr>
          <w:p w:rsidR="000717D7" w:rsidRPr="003E53F0" w:rsidRDefault="000717D7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pct"/>
          </w:tcPr>
          <w:p w:rsidR="000717D7" w:rsidRPr="003E53F0" w:rsidRDefault="000717D7" w:rsidP="000A3D05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43" w:type="pct"/>
            <w:shd w:val="clear" w:color="auto" w:fill="auto"/>
          </w:tcPr>
          <w:p w:rsidR="000717D7" w:rsidRPr="00987B0F" w:rsidRDefault="00866F38" w:rsidP="001A5B87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проведених процедур закупівлі послуг</w:t>
            </w:r>
          </w:p>
        </w:tc>
      </w:tr>
      <w:tr w:rsidR="000717D7" w:rsidRPr="003E53F0" w:rsidTr="00071B6B">
        <w:tc>
          <w:tcPr>
            <w:tcW w:w="1886" w:type="pct"/>
            <w:gridSpan w:val="3"/>
          </w:tcPr>
          <w:p w:rsidR="000717D7" w:rsidRPr="00C85521" w:rsidRDefault="000717D7" w:rsidP="00C855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55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Програмі</w:t>
            </w:r>
          </w:p>
        </w:tc>
        <w:tc>
          <w:tcPr>
            <w:tcW w:w="344" w:type="pct"/>
          </w:tcPr>
          <w:p w:rsidR="000717D7" w:rsidRDefault="000717D7" w:rsidP="000A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3" w:type="pct"/>
          </w:tcPr>
          <w:p w:rsidR="000717D7" w:rsidRPr="00245695" w:rsidRDefault="000717D7" w:rsidP="00245695">
            <w:pPr>
              <w:pStyle w:val="af1"/>
              <w:spacing w:before="0" w:beforeAutospacing="0" w:after="0" w:afterAutospacing="0"/>
              <w:ind w:left="6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3146,1</w:t>
            </w:r>
          </w:p>
        </w:tc>
        <w:tc>
          <w:tcPr>
            <w:tcW w:w="694" w:type="pct"/>
          </w:tcPr>
          <w:p w:rsidR="000717D7" w:rsidRPr="003E53F0" w:rsidRDefault="000717D7" w:rsidP="000A3D05">
            <w:pPr>
              <w:pStyle w:val="af1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3078,7</w:t>
            </w:r>
          </w:p>
        </w:tc>
        <w:tc>
          <w:tcPr>
            <w:tcW w:w="500" w:type="pct"/>
          </w:tcPr>
          <w:p w:rsidR="000717D7" w:rsidRPr="003E53F0" w:rsidRDefault="000717D7" w:rsidP="000A3D05">
            <w:pPr>
              <w:pStyle w:val="af1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97,9</w:t>
            </w:r>
          </w:p>
        </w:tc>
        <w:tc>
          <w:tcPr>
            <w:tcW w:w="943" w:type="pct"/>
            <w:shd w:val="clear" w:color="auto" w:fill="auto"/>
          </w:tcPr>
          <w:p w:rsidR="000717D7" w:rsidRPr="00987B0F" w:rsidRDefault="000717D7" w:rsidP="001A5B87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</w:tr>
    </w:tbl>
    <w:p w:rsidR="00D44DA2" w:rsidRDefault="00D44DA2" w:rsidP="00B47BD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45695" w:rsidRDefault="00245695" w:rsidP="00D44D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5695" w:rsidRDefault="00245695" w:rsidP="00D44D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D5F82" w:rsidRDefault="002D5F82" w:rsidP="00245695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</w:p>
    <w:p w:rsidR="00123B17" w:rsidRDefault="00123B17" w:rsidP="00245695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</w:p>
    <w:p w:rsidR="00123B17" w:rsidRDefault="00123B17" w:rsidP="00245695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</w:p>
    <w:p w:rsidR="00123B17" w:rsidRDefault="00123B17" w:rsidP="00245695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</w:p>
    <w:p w:rsidR="00245695" w:rsidRDefault="00245695" w:rsidP="00245695">
      <w:pPr>
        <w:pStyle w:val="af1"/>
        <w:widowControl w:val="0"/>
        <w:shd w:val="clear" w:color="auto" w:fill="FFFFFF"/>
        <w:spacing w:before="0" w:beforeAutospacing="0" w:after="0" w:afterAutospacing="0"/>
        <w:jc w:val="right"/>
        <w:rPr>
          <w:bCs/>
          <w:szCs w:val="28"/>
          <w:lang w:val="uk-UA"/>
        </w:rPr>
      </w:pPr>
      <w:r w:rsidRPr="00596FE8">
        <w:rPr>
          <w:bCs/>
          <w:szCs w:val="28"/>
          <w:lang w:val="uk-UA"/>
        </w:rPr>
        <w:lastRenderedPageBreak/>
        <w:t>Продовження додатка</w:t>
      </w:r>
    </w:p>
    <w:p w:rsidR="00245695" w:rsidRDefault="00245695" w:rsidP="00D44D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4DA2" w:rsidRPr="004368B3" w:rsidRDefault="00D44DA2" w:rsidP="00D44D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68B3">
        <w:rPr>
          <w:rFonts w:ascii="Times New Roman" w:hAnsi="Times New Roman"/>
          <w:b/>
          <w:sz w:val="28"/>
          <w:szCs w:val="28"/>
          <w:lang w:val="uk-UA"/>
        </w:rPr>
        <w:t>РЕЗУЛЬТАТИВН</w:t>
      </w:r>
      <w:r w:rsidR="004A26BB">
        <w:rPr>
          <w:rFonts w:ascii="Times New Roman" w:hAnsi="Times New Roman"/>
          <w:b/>
          <w:sz w:val="28"/>
          <w:szCs w:val="28"/>
          <w:lang w:val="uk-UA"/>
        </w:rPr>
        <w:t>І</w:t>
      </w:r>
      <w:r w:rsidR="004C743C">
        <w:rPr>
          <w:rFonts w:ascii="Times New Roman" w:hAnsi="Times New Roman"/>
          <w:b/>
          <w:sz w:val="28"/>
          <w:szCs w:val="28"/>
          <w:lang w:val="uk-UA"/>
        </w:rPr>
        <w:t xml:space="preserve"> ПОКАЗНИК</w:t>
      </w:r>
      <w:r w:rsidR="004A26BB"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D44DA2" w:rsidRPr="00344E62" w:rsidRDefault="00D44DA2" w:rsidP="00D44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</w:t>
      </w:r>
      <w:r w:rsidRPr="00344E62">
        <w:rPr>
          <w:rFonts w:ascii="Times New Roman" w:hAnsi="Times New Roman"/>
          <w:b/>
          <w:sz w:val="28"/>
          <w:szCs w:val="28"/>
          <w:lang w:val="uk-UA"/>
        </w:rPr>
        <w:t xml:space="preserve">Програми розвитку, підтримки та надання медичних послуг понад обсяг, передбачений програмою державних гарантій медичного обслуговування населення,  КНП «Смілянська міська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стоматологічна </w:t>
      </w:r>
      <w:r w:rsidRPr="00344E62">
        <w:rPr>
          <w:rFonts w:ascii="Times New Roman" w:hAnsi="Times New Roman"/>
          <w:b/>
          <w:sz w:val="28"/>
          <w:szCs w:val="28"/>
          <w:lang w:val="uk-UA"/>
        </w:rPr>
        <w:t>поліклі</w:t>
      </w:r>
      <w:r>
        <w:rPr>
          <w:rFonts w:ascii="Times New Roman" w:hAnsi="Times New Roman"/>
          <w:b/>
          <w:sz w:val="28"/>
          <w:szCs w:val="28"/>
          <w:lang w:val="uk-UA"/>
        </w:rPr>
        <w:t>ніка» Смілянської міської ради з</w:t>
      </w:r>
      <w:r w:rsidRPr="00344E62">
        <w:rPr>
          <w:rFonts w:ascii="Times New Roman" w:hAnsi="Times New Roman"/>
          <w:b/>
          <w:sz w:val="28"/>
          <w:szCs w:val="28"/>
          <w:lang w:val="uk-UA"/>
        </w:rPr>
        <w:t>а 202</w:t>
      </w:r>
      <w:r w:rsidR="00245695">
        <w:rPr>
          <w:rFonts w:ascii="Times New Roman" w:hAnsi="Times New Roman"/>
          <w:b/>
          <w:sz w:val="28"/>
          <w:szCs w:val="28"/>
          <w:lang w:val="uk-UA"/>
        </w:rPr>
        <w:t>2</w:t>
      </w:r>
      <w:r w:rsidR="006674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44E62">
        <w:rPr>
          <w:rFonts w:ascii="Times New Roman" w:hAnsi="Times New Roman"/>
          <w:b/>
          <w:sz w:val="28"/>
          <w:szCs w:val="28"/>
          <w:lang w:val="uk-UA"/>
        </w:rPr>
        <w:t>рік</w:t>
      </w:r>
    </w:p>
    <w:tbl>
      <w:tblPr>
        <w:tblpPr w:leftFromText="180" w:rightFromText="180" w:vertAnchor="text" w:horzAnchor="page" w:tblpX="-616" w:tblpY="126"/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4"/>
        <w:gridCol w:w="3713"/>
        <w:gridCol w:w="990"/>
        <w:gridCol w:w="993"/>
        <w:gridCol w:w="1450"/>
      </w:tblGrid>
      <w:tr w:rsidR="00544CC6" w:rsidRPr="00245695" w:rsidTr="00544CC6">
        <w:trPr>
          <w:trHeight w:val="655"/>
        </w:trPr>
        <w:tc>
          <w:tcPr>
            <w:tcW w:w="2733" w:type="pct"/>
            <w:shd w:val="clear" w:color="auto" w:fill="auto"/>
            <w:noWrap/>
          </w:tcPr>
          <w:p w:rsidR="00544CC6" w:rsidRPr="001C2C9F" w:rsidRDefault="00544CC6" w:rsidP="00544C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C9F">
              <w:rPr>
                <w:rFonts w:ascii="Times New Roman" w:hAnsi="Times New Roman"/>
                <w:b/>
                <w:sz w:val="24"/>
                <w:szCs w:val="24"/>
              </w:rPr>
              <w:t>Назва показника</w:t>
            </w:r>
          </w:p>
        </w:tc>
        <w:tc>
          <w:tcPr>
            <w:tcW w:w="1178" w:type="pct"/>
            <w:shd w:val="clear" w:color="auto" w:fill="auto"/>
          </w:tcPr>
          <w:p w:rsidR="00544CC6" w:rsidRPr="001C2C9F" w:rsidRDefault="00544CC6" w:rsidP="00544C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9F">
              <w:rPr>
                <w:rFonts w:ascii="Times New Roman" w:hAnsi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  <w:noWrap/>
          </w:tcPr>
          <w:p w:rsidR="00544CC6" w:rsidRPr="001C2C9F" w:rsidRDefault="00544CC6" w:rsidP="00544C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C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544CC6" w:rsidRPr="001C2C9F" w:rsidRDefault="00544CC6" w:rsidP="00544C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C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544CC6" w:rsidRPr="001C2C9F" w:rsidRDefault="00544CC6" w:rsidP="00544C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C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 виконання</w:t>
            </w:r>
          </w:p>
        </w:tc>
      </w:tr>
      <w:tr w:rsidR="00544CC6" w:rsidRPr="00245695" w:rsidTr="00544CC6">
        <w:trPr>
          <w:trHeight w:val="253"/>
        </w:trPr>
        <w:tc>
          <w:tcPr>
            <w:tcW w:w="2733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І. Надання фінансової підтримки</w:t>
            </w: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44CC6" w:rsidRPr="00245695" w:rsidTr="00544CC6">
        <w:trPr>
          <w:trHeight w:val="260"/>
        </w:trPr>
        <w:tc>
          <w:tcPr>
            <w:tcW w:w="2733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C6" w:rsidRPr="00245695" w:rsidTr="00544CC6">
        <w:trPr>
          <w:trHeight w:val="279"/>
        </w:trPr>
        <w:tc>
          <w:tcPr>
            <w:tcW w:w="2733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>Обсяг видатків на оновлення матеріально-технічної бази та придбання обладнання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314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544CC6" w:rsidRPr="00245695" w:rsidTr="00544CC6">
        <w:trPr>
          <w:trHeight w:val="269"/>
        </w:trPr>
        <w:tc>
          <w:tcPr>
            <w:tcW w:w="2733" w:type="pct"/>
            <w:tcBorders>
              <w:bottom w:val="single" w:sz="4" w:space="0" w:color="auto"/>
            </w:tcBorders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>Обсяг видатків на проведення капітальних  ремонтів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314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44CC6" w:rsidRPr="00245695" w:rsidTr="00544CC6">
        <w:trPr>
          <w:trHeight w:val="271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>Забезпечення   видатками на оплату енергоносіїв та комунальних послуг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341,6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296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87,0</w:t>
            </w:r>
          </w:p>
        </w:tc>
      </w:tr>
      <w:tr w:rsidR="00544CC6" w:rsidRPr="00245695" w:rsidTr="00544CC6">
        <w:trPr>
          <w:trHeight w:val="271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C6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видатками на збільшення обігових коштів для лікування стоматологічних </w:t>
            </w:r>
          </w:p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захворювань у окремих пільгових категорій населення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1100,1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1100,1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544CC6" w:rsidRPr="00245695" w:rsidTr="00544CC6">
        <w:trPr>
          <w:trHeight w:val="255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ПРОДУКТУ</w:t>
            </w:r>
            <w:r w:rsidRPr="002456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C6" w:rsidRPr="00245695" w:rsidTr="00544CC6">
        <w:trPr>
          <w:trHeight w:val="258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>Кількість одиниць запланованого обладнання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>о</w:t>
            </w: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диниць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544CC6" w:rsidRPr="00245695" w:rsidTr="00544CC6">
        <w:trPr>
          <w:trHeight w:val="263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>Кількість об’єктів, які планується відремонтувати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>од</w:t>
            </w: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иниць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44CC6" w:rsidRPr="00245695" w:rsidTr="00544CC6">
        <w:trPr>
          <w:trHeight w:val="239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Кіль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кість </w:t>
            </w: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ідприємств, які забезпечуються </w:t>
            </w: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видатками на енергоносії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544CC6" w:rsidRPr="00245695" w:rsidTr="00544CC6">
        <w:trPr>
          <w:trHeight w:val="244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осіб</w:t>
            </w: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, яким планується провести лікува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ння стоматологічних захворювань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1731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1036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  <w:tr w:rsidR="00544CC6" w:rsidRPr="00245695" w:rsidTr="00544CC6">
        <w:trPr>
          <w:trHeight w:val="299"/>
        </w:trPr>
        <w:tc>
          <w:tcPr>
            <w:tcW w:w="2733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C6" w:rsidRPr="00245695" w:rsidTr="00544CC6">
        <w:trPr>
          <w:trHeight w:val="199"/>
        </w:trPr>
        <w:tc>
          <w:tcPr>
            <w:tcW w:w="2733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>Середні витрати на придбання однієї одиниці обладнання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245695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314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544CC6" w:rsidRPr="00245695" w:rsidTr="00544CC6">
        <w:trPr>
          <w:trHeight w:val="269"/>
        </w:trPr>
        <w:tc>
          <w:tcPr>
            <w:tcW w:w="2733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>Середня вартість ремонту одного об’єкта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245695">
              <w:rPr>
                <w:rFonts w:ascii="Times New Roman" w:hAnsi="Times New Roman"/>
                <w:sz w:val="24"/>
                <w:szCs w:val="24"/>
              </w:rPr>
              <w:t>ис.грн</w:t>
            </w:r>
          </w:p>
        </w:tc>
        <w:tc>
          <w:tcPr>
            <w:tcW w:w="314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44CC6" w:rsidRPr="00245695" w:rsidTr="00544CC6">
        <w:trPr>
          <w:trHeight w:val="269"/>
        </w:trPr>
        <w:tc>
          <w:tcPr>
            <w:tcW w:w="2733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оплату  комунальних послуг та енергоносіїв одного об’єкта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</w:p>
        </w:tc>
        <w:tc>
          <w:tcPr>
            <w:tcW w:w="314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341,6</w:t>
            </w: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296</w:t>
            </w: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87,0</w:t>
            </w:r>
          </w:p>
        </w:tc>
      </w:tr>
      <w:tr w:rsidR="00544CC6" w:rsidRPr="00245695" w:rsidTr="00544CC6">
        <w:trPr>
          <w:trHeight w:val="269"/>
        </w:trPr>
        <w:tc>
          <w:tcPr>
            <w:tcW w:w="2733" w:type="pct"/>
            <w:shd w:val="clear" w:color="auto" w:fill="auto"/>
            <w:noWrap/>
          </w:tcPr>
          <w:p w:rsidR="00544CC6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Середні витрати на лікування стоматологічних захворювань у окреми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 пільгових категорій </w:t>
            </w:r>
          </w:p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</w:p>
        </w:tc>
        <w:tc>
          <w:tcPr>
            <w:tcW w:w="314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544CC6" w:rsidRPr="00245695" w:rsidTr="00544CC6">
        <w:trPr>
          <w:trHeight w:val="268"/>
        </w:trPr>
        <w:tc>
          <w:tcPr>
            <w:tcW w:w="2733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C6" w:rsidRPr="00245695" w:rsidTr="00544CC6">
        <w:trPr>
          <w:trHeight w:val="271"/>
        </w:trPr>
        <w:tc>
          <w:tcPr>
            <w:tcW w:w="2733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 xml:space="preserve">Економія коштів за рік, що виникла за результатами впровадження в експлуатацію придбаного обладнання 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314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544CC6" w:rsidRPr="00245695" w:rsidTr="00544CC6">
        <w:trPr>
          <w:trHeight w:val="275"/>
        </w:trPr>
        <w:tc>
          <w:tcPr>
            <w:tcW w:w="2733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>Обсяг річної економії  бюджетних коштів в результаті проведення капітального ремонту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314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44CC6" w:rsidRPr="00245695" w:rsidTr="00544CC6">
        <w:trPr>
          <w:trHeight w:val="258"/>
        </w:trPr>
        <w:tc>
          <w:tcPr>
            <w:tcW w:w="2733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Рівень зростання вартості комунальних послуг та енергоносіїв у порівнянні з минулим роком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314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2,3</w:t>
            </w: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6,7</w:t>
            </w: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293</w:t>
            </w:r>
          </w:p>
        </w:tc>
      </w:tr>
      <w:tr w:rsidR="00544CC6" w:rsidRPr="00245695" w:rsidTr="00544CC6">
        <w:trPr>
          <w:trHeight w:val="171"/>
        </w:trPr>
        <w:tc>
          <w:tcPr>
            <w:tcW w:w="2733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ІІ.Зменшення поширеності інфекційних хвороб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44CC6" w:rsidRPr="00245695" w:rsidTr="00544CC6">
        <w:trPr>
          <w:trHeight w:val="243"/>
        </w:trPr>
        <w:tc>
          <w:tcPr>
            <w:tcW w:w="2733" w:type="pct"/>
            <w:tcBorders>
              <w:bottom w:val="nil"/>
            </w:tcBorders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1178" w:type="pct"/>
            <w:tcBorders>
              <w:bottom w:val="nil"/>
            </w:tcBorders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bottom w:val="nil"/>
            </w:tcBorders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nil"/>
            </w:tcBorders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bottom w:val="nil"/>
            </w:tcBorders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C6" w:rsidRPr="00245695" w:rsidTr="00544CC6">
        <w:trPr>
          <w:trHeight w:val="243"/>
        </w:trPr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CC6" w:rsidRDefault="00544CC6" w:rsidP="00544CC6">
            <w:pPr>
              <w:pStyle w:val="af1"/>
              <w:widowControl w:val="0"/>
              <w:shd w:val="clear" w:color="auto" w:fill="FFFFFF"/>
              <w:spacing w:before="0" w:beforeAutospacing="0" w:after="0" w:afterAutospacing="0"/>
              <w:jc w:val="right"/>
              <w:rPr>
                <w:bCs/>
                <w:szCs w:val="28"/>
                <w:lang w:val="uk-UA"/>
              </w:rPr>
            </w:pPr>
            <w:r w:rsidRPr="00596FE8">
              <w:rPr>
                <w:bCs/>
                <w:szCs w:val="28"/>
                <w:lang w:val="uk-UA"/>
              </w:rPr>
              <w:t>Продовження додатка</w:t>
            </w:r>
          </w:p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C6" w:rsidRPr="00245695" w:rsidTr="00544CC6">
        <w:trPr>
          <w:trHeight w:val="243"/>
        </w:trPr>
        <w:tc>
          <w:tcPr>
            <w:tcW w:w="2733" w:type="pct"/>
            <w:tcBorders>
              <w:top w:val="single" w:sz="4" w:space="0" w:color="auto"/>
            </w:tcBorders>
            <w:shd w:val="clear" w:color="auto" w:fill="auto"/>
          </w:tcPr>
          <w:p w:rsidR="00544CC6" w:rsidRPr="001C2C9F" w:rsidRDefault="00544CC6" w:rsidP="00544C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C9F">
              <w:rPr>
                <w:rFonts w:ascii="Times New Roman" w:hAnsi="Times New Roman"/>
                <w:b/>
                <w:sz w:val="24"/>
                <w:szCs w:val="24"/>
              </w:rPr>
              <w:t>Назва показника</w:t>
            </w:r>
          </w:p>
        </w:tc>
        <w:tc>
          <w:tcPr>
            <w:tcW w:w="1178" w:type="pct"/>
            <w:tcBorders>
              <w:top w:val="single" w:sz="4" w:space="0" w:color="auto"/>
            </w:tcBorders>
            <w:shd w:val="clear" w:color="auto" w:fill="auto"/>
          </w:tcPr>
          <w:p w:rsidR="00544CC6" w:rsidRPr="001C2C9F" w:rsidRDefault="00544CC6" w:rsidP="00544C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9F">
              <w:rPr>
                <w:rFonts w:ascii="Times New Roman" w:hAnsi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:rsidR="00544CC6" w:rsidRPr="001C2C9F" w:rsidRDefault="00544CC6" w:rsidP="00544C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C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544CC6" w:rsidRPr="001C2C9F" w:rsidRDefault="00544CC6" w:rsidP="00544C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C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544CC6" w:rsidRPr="001C2C9F" w:rsidRDefault="00544CC6" w:rsidP="00544C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C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 виконання</w:t>
            </w:r>
          </w:p>
        </w:tc>
      </w:tr>
      <w:tr w:rsidR="00544CC6" w:rsidRPr="00245695" w:rsidTr="00544CC6">
        <w:trPr>
          <w:trHeight w:val="284"/>
        </w:trPr>
        <w:tc>
          <w:tcPr>
            <w:tcW w:w="2733" w:type="pct"/>
            <w:shd w:val="clear" w:color="auto" w:fill="auto"/>
          </w:tcPr>
          <w:p w:rsidR="00544CC6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Видатки  на  придбання  засобів індивідуального захисту, дезінфікуючих засобів, виробів </w:t>
            </w:r>
          </w:p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медичного призначення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</w:p>
        </w:tc>
        <w:tc>
          <w:tcPr>
            <w:tcW w:w="314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68,8</w:t>
            </w: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68,8</w:t>
            </w: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544CC6" w:rsidRPr="00245695" w:rsidTr="00544CC6">
        <w:trPr>
          <w:trHeight w:val="284"/>
        </w:trPr>
        <w:tc>
          <w:tcPr>
            <w:tcW w:w="2733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C6" w:rsidRPr="00245695" w:rsidTr="00544CC6">
        <w:trPr>
          <w:trHeight w:val="284"/>
        </w:trPr>
        <w:tc>
          <w:tcPr>
            <w:tcW w:w="2733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працівників  підприємства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314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544CC6" w:rsidRPr="00245695" w:rsidTr="00544CC6">
        <w:trPr>
          <w:trHeight w:val="284"/>
        </w:trPr>
        <w:tc>
          <w:tcPr>
            <w:tcW w:w="2733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CC6" w:rsidRPr="00245695" w:rsidTr="00544CC6">
        <w:trPr>
          <w:trHeight w:val="284"/>
        </w:trPr>
        <w:tc>
          <w:tcPr>
            <w:tcW w:w="2733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працівників засобами індивідуального захисту, дезінфікуючими засобами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314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544CC6" w:rsidRPr="00245695" w:rsidTr="00544CC6">
        <w:trPr>
          <w:trHeight w:val="223"/>
        </w:trPr>
        <w:tc>
          <w:tcPr>
            <w:tcW w:w="2733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" w:type="pct"/>
            <w:shd w:val="clear" w:color="auto" w:fill="auto"/>
            <w:noWrap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44CC6" w:rsidRPr="00245695" w:rsidTr="00544CC6">
        <w:trPr>
          <w:trHeight w:val="284"/>
        </w:trPr>
        <w:tc>
          <w:tcPr>
            <w:tcW w:w="2733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Зменшення ризику зараження  працівників підприємства</w:t>
            </w:r>
          </w:p>
        </w:tc>
        <w:tc>
          <w:tcPr>
            <w:tcW w:w="1178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314" w:type="pct"/>
            <w:shd w:val="clear" w:color="auto" w:fill="auto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5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0" w:type="pct"/>
          </w:tcPr>
          <w:p w:rsidR="00544CC6" w:rsidRPr="00245695" w:rsidRDefault="00544CC6" w:rsidP="0054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69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D44DA2" w:rsidRPr="00EC3F26" w:rsidRDefault="00D44DA2" w:rsidP="00D44D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16"/>
          <w:lang w:val="uk-UA"/>
        </w:rPr>
      </w:pPr>
    </w:p>
    <w:p w:rsidR="00D5239A" w:rsidRDefault="00D5239A" w:rsidP="00D523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F82" w:rsidRDefault="002D5F82" w:rsidP="002D5F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7E48" w:rsidRPr="00645DD3" w:rsidRDefault="00CF7E48" w:rsidP="002D5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48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45DD3">
        <w:rPr>
          <w:rFonts w:ascii="Times New Roman" w:hAnsi="Times New Roman"/>
          <w:sz w:val="28"/>
          <w:szCs w:val="28"/>
          <w:lang w:val="uk-UA"/>
        </w:rPr>
        <w:tab/>
      </w:r>
      <w:r w:rsidR="002D5F82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645DD3"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CF7E48" w:rsidRDefault="00CF7E48" w:rsidP="00243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239A" w:rsidRDefault="00D5239A" w:rsidP="00D5239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239A" w:rsidRDefault="00D5239A" w:rsidP="00D5239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22F6" w:rsidRDefault="002722F6" w:rsidP="00D5239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239A" w:rsidRDefault="00D5239A" w:rsidP="00D5239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75D3" w:rsidRDefault="001B75D3" w:rsidP="00D5239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75D3" w:rsidRDefault="001B75D3" w:rsidP="00D5239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239A" w:rsidRDefault="00D5239A" w:rsidP="00D5239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239A" w:rsidRDefault="00D5239A" w:rsidP="00D5239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27FB" w:rsidRDefault="00D927FB" w:rsidP="00D5239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27FB" w:rsidRDefault="00D927FB" w:rsidP="00D5239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239A" w:rsidRDefault="00D5239A" w:rsidP="00D5239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239A" w:rsidRDefault="00D5239A" w:rsidP="00D5239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3237" w:rsidRDefault="00D5239A" w:rsidP="002D5F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Леся ЧЕМЕРИС</w:t>
      </w:r>
      <w:r w:rsidR="00CF7E48" w:rsidRPr="00CF7E48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5E3237" w:rsidSect="00D5239A">
      <w:pgSz w:w="16838" w:h="11906" w:orient="landscape"/>
      <w:pgMar w:top="567" w:right="902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783" w:rsidRDefault="00E25783">
      <w:r>
        <w:separator/>
      </w:r>
    </w:p>
  </w:endnote>
  <w:endnote w:type="continuationSeparator" w:id="1">
    <w:p w:rsidR="00E25783" w:rsidRDefault="00E25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783" w:rsidRDefault="00E25783">
      <w:r>
        <w:separator/>
      </w:r>
    </w:p>
  </w:footnote>
  <w:footnote w:type="continuationSeparator" w:id="1">
    <w:p w:rsidR="00E25783" w:rsidRDefault="00E25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6A" w:rsidRDefault="00B8276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.9pt;margin-top:15.8pt;width:3.9pt;height:2.3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B8276A" w:rsidRPr="008D67DF" w:rsidRDefault="00B8276A" w:rsidP="008D67D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3C1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B45F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D04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BCB4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4E5E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A06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0C7A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683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D46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7CB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3">
    <w:nsid w:val="1B01314E"/>
    <w:multiLevelType w:val="hybridMultilevel"/>
    <w:tmpl w:val="712C45D6"/>
    <w:lvl w:ilvl="0" w:tplc="442490CA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1EA13115"/>
    <w:multiLevelType w:val="hybridMultilevel"/>
    <w:tmpl w:val="F6388D1C"/>
    <w:lvl w:ilvl="0" w:tplc="442490C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5134CA"/>
    <w:multiLevelType w:val="hybridMultilevel"/>
    <w:tmpl w:val="4CFE25E4"/>
    <w:lvl w:ilvl="0" w:tplc="442490CA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9320FA"/>
    <w:multiLevelType w:val="hybridMultilevel"/>
    <w:tmpl w:val="556A5716"/>
    <w:lvl w:ilvl="0" w:tplc="442490CA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F5B49D9"/>
    <w:multiLevelType w:val="hybridMultilevel"/>
    <w:tmpl w:val="E10C354C"/>
    <w:lvl w:ilvl="0" w:tplc="D55234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17"/>
  </w:num>
  <w:num w:numId="5">
    <w:abstractNumId w:val="12"/>
  </w:num>
  <w:num w:numId="6">
    <w:abstractNumId w:val="10"/>
    <w:lvlOverride w:ilvl="0">
      <w:lvl w:ilvl="0">
        <w:numFmt w:val="bullet"/>
        <w:lvlText w:val="-"/>
        <w:legacy w:legacy="1" w:legacySpace="0" w:legacyIndent="374"/>
        <w:lvlJc w:val="left"/>
        <w:rPr>
          <w:rFonts w:ascii="Arial" w:hAnsi="Arial" w:hint="default"/>
        </w:rPr>
      </w:lvl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1"/>
  </w:num>
  <w:num w:numId="19">
    <w:abstractNumId w:val="19"/>
  </w:num>
  <w:num w:numId="20">
    <w:abstractNumId w:val="13"/>
  </w:num>
  <w:num w:numId="21">
    <w:abstractNumId w:val="1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B3F0D"/>
    <w:rsid w:val="0000336E"/>
    <w:rsid w:val="00005385"/>
    <w:rsid w:val="00007573"/>
    <w:rsid w:val="00012989"/>
    <w:rsid w:val="0001569B"/>
    <w:rsid w:val="00020275"/>
    <w:rsid w:val="000254DB"/>
    <w:rsid w:val="00033123"/>
    <w:rsid w:val="00036E3A"/>
    <w:rsid w:val="00051180"/>
    <w:rsid w:val="00054AC9"/>
    <w:rsid w:val="000609BD"/>
    <w:rsid w:val="00065750"/>
    <w:rsid w:val="000717D7"/>
    <w:rsid w:val="00071B6B"/>
    <w:rsid w:val="00084972"/>
    <w:rsid w:val="00085B7E"/>
    <w:rsid w:val="00091D09"/>
    <w:rsid w:val="00091E1B"/>
    <w:rsid w:val="000A06EA"/>
    <w:rsid w:val="000A0797"/>
    <w:rsid w:val="000A3D05"/>
    <w:rsid w:val="000A78DA"/>
    <w:rsid w:val="000B3A55"/>
    <w:rsid w:val="000E1712"/>
    <w:rsid w:val="000E1BCC"/>
    <w:rsid w:val="00101A28"/>
    <w:rsid w:val="001109A0"/>
    <w:rsid w:val="00112222"/>
    <w:rsid w:val="00121916"/>
    <w:rsid w:val="00123B17"/>
    <w:rsid w:val="001241CA"/>
    <w:rsid w:val="00137DD3"/>
    <w:rsid w:val="0014297A"/>
    <w:rsid w:val="0014640A"/>
    <w:rsid w:val="00147225"/>
    <w:rsid w:val="00147323"/>
    <w:rsid w:val="00147A11"/>
    <w:rsid w:val="00152440"/>
    <w:rsid w:val="001532B5"/>
    <w:rsid w:val="00161D22"/>
    <w:rsid w:val="00162923"/>
    <w:rsid w:val="00165153"/>
    <w:rsid w:val="00171CC8"/>
    <w:rsid w:val="00181CF9"/>
    <w:rsid w:val="00193067"/>
    <w:rsid w:val="001978BD"/>
    <w:rsid w:val="001A306B"/>
    <w:rsid w:val="001A5B87"/>
    <w:rsid w:val="001A6FBF"/>
    <w:rsid w:val="001B153B"/>
    <w:rsid w:val="001B75D3"/>
    <w:rsid w:val="001C2C9F"/>
    <w:rsid w:val="001C4C2E"/>
    <w:rsid w:val="001D0732"/>
    <w:rsid w:val="001D1962"/>
    <w:rsid w:val="001D41F8"/>
    <w:rsid w:val="001D467F"/>
    <w:rsid w:val="001D7A3A"/>
    <w:rsid w:val="001E2144"/>
    <w:rsid w:val="001E4D4F"/>
    <w:rsid w:val="001E6D10"/>
    <w:rsid w:val="001F0CB9"/>
    <w:rsid w:val="00201FCD"/>
    <w:rsid w:val="00206A53"/>
    <w:rsid w:val="00216F28"/>
    <w:rsid w:val="002232A6"/>
    <w:rsid w:val="00226ECC"/>
    <w:rsid w:val="002325F4"/>
    <w:rsid w:val="00235B8C"/>
    <w:rsid w:val="00242545"/>
    <w:rsid w:val="00243F7C"/>
    <w:rsid w:val="00245695"/>
    <w:rsid w:val="00247658"/>
    <w:rsid w:val="00256DDF"/>
    <w:rsid w:val="002722F6"/>
    <w:rsid w:val="00293C15"/>
    <w:rsid w:val="002C382B"/>
    <w:rsid w:val="002C451D"/>
    <w:rsid w:val="002C51E6"/>
    <w:rsid w:val="002D0276"/>
    <w:rsid w:val="002D5F82"/>
    <w:rsid w:val="002F20BB"/>
    <w:rsid w:val="002F45C9"/>
    <w:rsid w:val="003077F6"/>
    <w:rsid w:val="003138C7"/>
    <w:rsid w:val="0031515D"/>
    <w:rsid w:val="00323C2F"/>
    <w:rsid w:val="003327C7"/>
    <w:rsid w:val="00333E24"/>
    <w:rsid w:val="003347E0"/>
    <w:rsid w:val="003419FE"/>
    <w:rsid w:val="00347EB2"/>
    <w:rsid w:val="003638FC"/>
    <w:rsid w:val="00375CAC"/>
    <w:rsid w:val="00376F5E"/>
    <w:rsid w:val="00377C8D"/>
    <w:rsid w:val="00382F65"/>
    <w:rsid w:val="00384E9F"/>
    <w:rsid w:val="00387D55"/>
    <w:rsid w:val="00393312"/>
    <w:rsid w:val="0039519A"/>
    <w:rsid w:val="003952AB"/>
    <w:rsid w:val="003A27F3"/>
    <w:rsid w:val="003A588D"/>
    <w:rsid w:val="003B64CC"/>
    <w:rsid w:val="003C0880"/>
    <w:rsid w:val="003C1744"/>
    <w:rsid w:val="003C2658"/>
    <w:rsid w:val="003C6AFF"/>
    <w:rsid w:val="003C7B2F"/>
    <w:rsid w:val="003D0858"/>
    <w:rsid w:val="003E3FE8"/>
    <w:rsid w:val="003E53F0"/>
    <w:rsid w:val="003F1F0D"/>
    <w:rsid w:val="003F50FE"/>
    <w:rsid w:val="003F7737"/>
    <w:rsid w:val="004038A3"/>
    <w:rsid w:val="0040503E"/>
    <w:rsid w:val="00406981"/>
    <w:rsid w:val="00411F4F"/>
    <w:rsid w:val="0042784D"/>
    <w:rsid w:val="00432A33"/>
    <w:rsid w:val="00433318"/>
    <w:rsid w:val="00433FB9"/>
    <w:rsid w:val="0044578F"/>
    <w:rsid w:val="004526E1"/>
    <w:rsid w:val="00460527"/>
    <w:rsid w:val="00477399"/>
    <w:rsid w:val="004819D3"/>
    <w:rsid w:val="00485DAD"/>
    <w:rsid w:val="00490811"/>
    <w:rsid w:val="0049701A"/>
    <w:rsid w:val="004A0B63"/>
    <w:rsid w:val="004A26BB"/>
    <w:rsid w:val="004B03D9"/>
    <w:rsid w:val="004B19AF"/>
    <w:rsid w:val="004B1C5E"/>
    <w:rsid w:val="004B43BD"/>
    <w:rsid w:val="004C6BF3"/>
    <w:rsid w:val="004C743C"/>
    <w:rsid w:val="004D3A23"/>
    <w:rsid w:val="004D5A1A"/>
    <w:rsid w:val="004E6CDE"/>
    <w:rsid w:val="004F57F6"/>
    <w:rsid w:val="004F6F33"/>
    <w:rsid w:val="00505019"/>
    <w:rsid w:val="00505B91"/>
    <w:rsid w:val="00512845"/>
    <w:rsid w:val="00515DD3"/>
    <w:rsid w:val="00517305"/>
    <w:rsid w:val="00530D2A"/>
    <w:rsid w:val="00537425"/>
    <w:rsid w:val="00542E2A"/>
    <w:rsid w:val="00544CC6"/>
    <w:rsid w:val="00562F0F"/>
    <w:rsid w:val="00563D18"/>
    <w:rsid w:val="00571DF6"/>
    <w:rsid w:val="0057545A"/>
    <w:rsid w:val="0057618E"/>
    <w:rsid w:val="0059112D"/>
    <w:rsid w:val="00592793"/>
    <w:rsid w:val="0059577B"/>
    <w:rsid w:val="00596FE8"/>
    <w:rsid w:val="005A47B0"/>
    <w:rsid w:val="005B1E81"/>
    <w:rsid w:val="005B2ECB"/>
    <w:rsid w:val="005B3332"/>
    <w:rsid w:val="005C2C87"/>
    <w:rsid w:val="005C4527"/>
    <w:rsid w:val="005D1026"/>
    <w:rsid w:val="005D23A6"/>
    <w:rsid w:val="005E3237"/>
    <w:rsid w:val="005E77B3"/>
    <w:rsid w:val="00602686"/>
    <w:rsid w:val="0061241A"/>
    <w:rsid w:val="00616BB1"/>
    <w:rsid w:val="00620C68"/>
    <w:rsid w:val="00630056"/>
    <w:rsid w:val="00645DD3"/>
    <w:rsid w:val="00646372"/>
    <w:rsid w:val="0065318A"/>
    <w:rsid w:val="006624B2"/>
    <w:rsid w:val="006674F5"/>
    <w:rsid w:val="0066797D"/>
    <w:rsid w:val="00695F3C"/>
    <w:rsid w:val="006A2380"/>
    <w:rsid w:val="006A572D"/>
    <w:rsid w:val="006B157C"/>
    <w:rsid w:val="006B1BB9"/>
    <w:rsid w:val="006B4B4B"/>
    <w:rsid w:val="006C07EE"/>
    <w:rsid w:val="006D4004"/>
    <w:rsid w:val="006D664D"/>
    <w:rsid w:val="006D6C7A"/>
    <w:rsid w:val="006E0AB6"/>
    <w:rsid w:val="006E542D"/>
    <w:rsid w:val="007030FB"/>
    <w:rsid w:val="007056B3"/>
    <w:rsid w:val="00707085"/>
    <w:rsid w:val="00707421"/>
    <w:rsid w:val="00707ECB"/>
    <w:rsid w:val="00710E38"/>
    <w:rsid w:val="007227BC"/>
    <w:rsid w:val="00723DED"/>
    <w:rsid w:val="007261B3"/>
    <w:rsid w:val="007261ED"/>
    <w:rsid w:val="0073213A"/>
    <w:rsid w:val="00735412"/>
    <w:rsid w:val="00740737"/>
    <w:rsid w:val="00755810"/>
    <w:rsid w:val="007565A7"/>
    <w:rsid w:val="007614EB"/>
    <w:rsid w:val="00761893"/>
    <w:rsid w:val="0076429B"/>
    <w:rsid w:val="0077006E"/>
    <w:rsid w:val="00772F10"/>
    <w:rsid w:val="007837E0"/>
    <w:rsid w:val="007970E5"/>
    <w:rsid w:val="007A36AD"/>
    <w:rsid w:val="007A373D"/>
    <w:rsid w:val="007A4EC0"/>
    <w:rsid w:val="007A6A45"/>
    <w:rsid w:val="007B4D2F"/>
    <w:rsid w:val="007B65E9"/>
    <w:rsid w:val="007D0622"/>
    <w:rsid w:val="007D5276"/>
    <w:rsid w:val="007E6E7B"/>
    <w:rsid w:val="00814ADC"/>
    <w:rsid w:val="00826D0D"/>
    <w:rsid w:val="0084427A"/>
    <w:rsid w:val="0084433F"/>
    <w:rsid w:val="00847697"/>
    <w:rsid w:val="00863455"/>
    <w:rsid w:val="00864588"/>
    <w:rsid w:val="00866F38"/>
    <w:rsid w:val="00887613"/>
    <w:rsid w:val="008A4DA0"/>
    <w:rsid w:val="008C0FFC"/>
    <w:rsid w:val="008C660B"/>
    <w:rsid w:val="008C6D22"/>
    <w:rsid w:val="008D67DF"/>
    <w:rsid w:val="008E050F"/>
    <w:rsid w:val="008E7C3E"/>
    <w:rsid w:val="008F0065"/>
    <w:rsid w:val="008F2DE1"/>
    <w:rsid w:val="00906170"/>
    <w:rsid w:val="00907342"/>
    <w:rsid w:val="00912F15"/>
    <w:rsid w:val="0092479D"/>
    <w:rsid w:val="0092570B"/>
    <w:rsid w:val="009276C1"/>
    <w:rsid w:val="009363B2"/>
    <w:rsid w:val="00947CEF"/>
    <w:rsid w:val="00950EAE"/>
    <w:rsid w:val="009573CD"/>
    <w:rsid w:val="00963082"/>
    <w:rsid w:val="009647B2"/>
    <w:rsid w:val="009674F0"/>
    <w:rsid w:val="009700DF"/>
    <w:rsid w:val="009737A2"/>
    <w:rsid w:val="0098406F"/>
    <w:rsid w:val="00985367"/>
    <w:rsid w:val="00987B0F"/>
    <w:rsid w:val="0099383B"/>
    <w:rsid w:val="0099581A"/>
    <w:rsid w:val="009A3E9D"/>
    <w:rsid w:val="009A6039"/>
    <w:rsid w:val="009A6C0B"/>
    <w:rsid w:val="009B5EA5"/>
    <w:rsid w:val="009B67E3"/>
    <w:rsid w:val="009C3DBF"/>
    <w:rsid w:val="009C40BB"/>
    <w:rsid w:val="009C5A49"/>
    <w:rsid w:val="009C649B"/>
    <w:rsid w:val="009D12A3"/>
    <w:rsid w:val="009D25AF"/>
    <w:rsid w:val="009E2E08"/>
    <w:rsid w:val="009E7E4B"/>
    <w:rsid w:val="009E7FE0"/>
    <w:rsid w:val="009F0E40"/>
    <w:rsid w:val="009F3724"/>
    <w:rsid w:val="009F4432"/>
    <w:rsid w:val="00A0661E"/>
    <w:rsid w:val="00A07DEB"/>
    <w:rsid w:val="00A20801"/>
    <w:rsid w:val="00A24837"/>
    <w:rsid w:val="00A24B7A"/>
    <w:rsid w:val="00A25D91"/>
    <w:rsid w:val="00A3404B"/>
    <w:rsid w:val="00A37E91"/>
    <w:rsid w:val="00A40C9B"/>
    <w:rsid w:val="00A4355E"/>
    <w:rsid w:val="00A60305"/>
    <w:rsid w:val="00A66380"/>
    <w:rsid w:val="00A708E5"/>
    <w:rsid w:val="00A74E18"/>
    <w:rsid w:val="00A95DF2"/>
    <w:rsid w:val="00AA1ECF"/>
    <w:rsid w:val="00AB20E6"/>
    <w:rsid w:val="00AB5CCD"/>
    <w:rsid w:val="00AC2822"/>
    <w:rsid w:val="00AD38F9"/>
    <w:rsid w:val="00AE5062"/>
    <w:rsid w:val="00AE6682"/>
    <w:rsid w:val="00AE7C4D"/>
    <w:rsid w:val="00B24769"/>
    <w:rsid w:val="00B255D2"/>
    <w:rsid w:val="00B263EA"/>
    <w:rsid w:val="00B3031A"/>
    <w:rsid w:val="00B47BD7"/>
    <w:rsid w:val="00B8276A"/>
    <w:rsid w:val="00B83D99"/>
    <w:rsid w:val="00B97197"/>
    <w:rsid w:val="00BA227C"/>
    <w:rsid w:val="00BB08D6"/>
    <w:rsid w:val="00BB288D"/>
    <w:rsid w:val="00BB6E07"/>
    <w:rsid w:val="00BD1B4D"/>
    <w:rsid w:val="00BD72E7"/>
    <w:rsid w:val="00BF1525"/>
    <w:rsid w:val="00C0266D"/>
    <w:rsid w:val="00C10400"/>
    <w:rsid w:val="00C3251D"/>
    <w:rsid w:val="00C33F1F"/>
    <w:rsid w:val="00C35243"/>
    <w:rsid w:val="00C41F9A"/>
    <w:rsid w:val="00C4264F"/>
    <w:rsid w:val="00C45B94"/>
    <w:rsid w:val="00C50DAA"/>
    <w:rsid w:val="00C6300F"/>
    <w:rsid w:val="00C64E6B"/>
    <w:rsid w:val="00C67801"/>
    <w:rsid w:val="00C80679"/>
    <w:rsid w:val="00C85521"/>
    <w:rsid w:val="00C90246"/>
    <w:rsid w:val="00C96740"/>
    <w:rsid w:val="00CB0426"/>
    <w:rsid w:val="00CB0C78"/>
    <w:rsid w:val="00CB3D12"/>
    <w:rsid w:val="00CC4035"/>
    <w:rsid w:val="00CE35B9"/>
    <w:rsid w:val="00CE4104"/>
    <w:rsid w:val="00CF0E78"/>
    <w:rsid w:val="00CF7E48"/>
    <w:rsid w:val="00D029D1"/>
    <w:rsid w:val="00D1455D"/>
    <w:rsid w:val="00D22E7C"/>
    <w:rsid w:val="00D27774"/>
    <w:rsid w:val="00D31581"/>
    <w:rsid w:val="00D37B74"/>
    <w:rsid w:val="00D40597"/>
    <w:rsid w:val="00D44DA2"/>
    <w:rsid w:val="00D5225E"/>
    <w:rsid w:val="00D5239A"/>
    <w:rsid w:val="00D64832"/>
    <w:rsid w:val="00D70E40"/>
    <w:rsid w:val="00D776E4"/>
    <w:rsid w:val="00D77D84"/>
    <w:rsid w:val="00D83FFF"/>
    <w:rsid w:val="00D901E7"/>
    <w:rsid w:val="00D90D12"/>
    <w:rsid w:val="00D927FB"/>
    <w:rsid w:val="00D95812"/>
    <w:rsid w:val="00D97F6F"/>
    <w:rsid w:val="00DA04A7"/>
    <w:rsid w:val="00DA6422"/>
    <w:rsid w:val="00DB2F93"/>
    <w:rsid w:val="00DC6763"/>
    <w:rsid w:val="00DD53EA"/>
    <w:rsid w:val="00DE137C"/>
    <w:rsid w:val="00E11601"/>
    <w:rsid w:val="00E25783"/>
    <w:rsid w:val="00E25BE3"/>
    <w:rsid w:val="00E27C00"/>
    <w:rsid w:val="00E31BBF"/>
    <w:rsid w:val="00E35E11"/>
    <w:rsid w:val="00E40A91"/>
    <w:rsid w:val="00E41189"/>
    <w:rsid w:val="00E7111A"/>
    <w:rsid w:val="00E727BD"/>
    <w:rsid w:val="00E72899"/>
    <w:rsid w:val="00E752DC"/>
    <w:rsid w:val="00E760A5"/>
    <w:rsid w:val="00E777A5"/>
    <w:rsid w:val="00E77D4E"/>
    <w:rsid w:val="00E80A32"/>
    <w:rsid w:val="00E81146"/>
    <w:rsid w:val="00E81DD2"/>
    <w:rsid w:val="00E971A5"/>
    <w:rsid w:val="00EA2917"/>
    <w:rsid w:val="00EA6EED"/>
    <w:rsid w:val="00EB3F0D"/>
    <w:rsid w:val="00EB4511"/>
    <w:rsid w:val="00EB7E6E"/>
    <w:rsid w:val="00EC3F26"/>
    <w:rsid w:val="00EC5F94"/>
    <w:rsid w:val="00ED238E"/>
    <w:rsid w:val="00ED77E6"/>
    <w:rsid w:val="00ED79AF"/>
    <w:rsid w:val="00EE23AA"/>
    <w:rsid w:val="00EE3EFA"/>
    <w:rsid w:val="00EF0B44"/>
    <w:rsid w:val="00F13AF4"/>
    <w:rsid w:val="00F35013"/>
    <w:rsid w:val="00F354B6"/>
    <w:rsid w:val="00F50219"/>
    <w:rsid w:val="00F62EF0"/>
    <w:rsid w:val="00F63BF9"/>
    <w:rsid w:val="00F83B47"/>
    <w:rsid w:val="00F86006"/>
    <w:rsid w:val="00FA1F23"/>
    <w:rsid w:val="00FA51A1"/>
    <w:rsid w:val="00FC0D36"/>
    <w:rsid w:val="00FC3B4D"/>
    <w:rsid w:val="00FC40E3"/>
    <w:rsid w:val="00FC4BCD"/>
    <w:rsid w:val="00FD4D04"/>
    <w:rsid w:val="00FD69F2"/>
    <w:rsid w:val="00FE118F"/>
    <w:rsid w:val="00FE5C37"/>
    <w:rsid w:val="00FE7681"/>
    <w:rsid w:val="00FF06BE"/>
    <w:rsid w:val="00FF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426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31515D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31515D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"/>
    <w:next w:val="a"/>
    <w:link w:val="60"/>
    <w:qFormat/>
    <w:rsid w:val="0031515D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11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11">
    <w:name w:val="Название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2C382B"/>
    <w:rPr>
      <w:color w:val="0000FF"/>
      <w:u w:val="single"/>
    </w:rPr>
  </w:style>
  <w:style w:type="paragraph" w:styleId="a5">
    <w:name w:val="Balloon Text"/>
    <w:basedOn w:val="a"/>
    <w:link w:val="a6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7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без абзаца Знак"/>
    <w:link w:val="a9"/>
    <w:locked/>
    <w:rsid w:val="001E2144"/>
    <w:rPr>
      <w:sz w:val="28"/>
      <w:lang w:val="uk-UA" w:eastAsia="uk-UA"/>
    </w:rPr>
  </w:style>
  <w:style w:type="paragraph" w:customStyle="1" w:styleId="a9">
    <w:name w:val="без абзаца"/>
    <w:basedOn w:val="a"/>
    <w:link w:val="a8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a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b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character" w:customStyle="1" w:styleId="20">
    <w:name w:val="Заголовок 2 Знак"/>
    <w:link w:val="2"/>
    <w:semiHidden/>
    <w:locked/>
    <w:rsid w:val="00C4264F"/>
    <w:rPr>
      <w:rFonts w:ascii="Cambria" w:hAnsi="Cambria" w:cs="Times New Roman"/>
      <w:color w:val="365F91"/>
      <w:sz w:val="26"/>
      <w:szCs w:val="26"/>
    </w:rPr>
  </w:style>
  <w:style w:type="paragraph" w:styleId="ac">
    <w:name w:val="Body Text"/>
    <w:basedOn w:val="a"/>
    <w:link w:val="ad"/>
    <w:rsid w:val="00C4264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ad">
    <w:name w:val="Основной текст Знак"/>
    <w:link w:val="ac"/>
    <w:locked/>
    <w:rsid w:val="00C4264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ListParagraph">
    <w:name w:val="List Paragraph"/>
    <w:basedOn w:val="a"/>
    <w:rsid w:val="00C4264F"/>
    <w:pPr>
      <w:ind w:left="720"/>
      <w:contextualSpacing/>
    </w:pPr>
  </w:style>
  <w:style w:type="paragraph" w:styleId="ae">
    <w:name w:val="Subtitle"/>
    <w:basedOn w:val="a"/>
    <w:link w:val="af"/>
    <w:qFormat/>
    <w:rsid w:val="001532B5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">
    <w:name w:val="Подзаголовок Знак"/>
    <w:link w:val="ae"/>
    <w:locked/>
    <w:rsid w:val="001532B5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link w:val="4"/>
    <w:semiHidden/>
    <w:locked/>
    <w:rsid w:val="0031515D"/>
    <w:rPr>
      <w:rFonts w:ascii="Cambria" w:hAnsi="Cambria" w:cs="Times New Roman"/>
      <w:i/>
      <w:iCs/>
      <w:color w:val="365F91"/>
    </w:rPr>
  </w:style>
  <w:style w:type="character" w:customStyle="1" w:styleId="50">
    <w:name w:val="Заголовок 5 Знак"/>
    <w:link w:val="5"/>
    <w:semiHidden/>
    <w:locked/>
    <w:rsid w:val="0031515D"/>
    <w:rPr>
      <w:rFonts w:ascii="Cambria" w:hAnsi="Cambria" w:cs="Times New Roman"/>
      <w:color w:val="365F91"/>
    </w:rPr>
  </w:style>
  <w:style w:type="character" w:customStyle="1" w:styleId="60">
    <w:name w:val="Заголовок 6 Знак"/>
    <w:link w:val="6"/>
    <w:semiHidden/>
    <w:locked/>
    <w:rsid w:val="0031515D"/>
    <w:rPr>
      <w:rFonts w:ascii="Cambria" w:hAnsi="Cambria" w:cs="Times New Roman"/>
      <w:color w:val="243F60"/>
    </w:rPr>
  </w:style>
  <w:style w:type="character" w:customStyle="1" w:styleId="af0">
    <w:name w:val="Знак Знак"/>
    <w:locked/>
    <w:rsid w:val="00243F7C"/>
    <w:rPr>
      <w:b/>
      <w:bCs/>
      <w:sz w:val="32"/>
      <w:szCs w:val="24"/>
      <w:lang w:val="uk-UA" w:eastAsia="ru-RU" w:bidi="ar-SA"/>
    </w:rPr>
  </w:style>
  <w:style w:type="paragraph" w:styleId="HTML">
    <w:name w:val="HTML Preformatted"/>
    <w:basedOn w:val="a"/>
    <w:link w:val="HTML0"/>
    <w:rsid w:val="0024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43F7C"/>
    <w:rPr>
      <w:rFonts w:ascii="Courier New" w:hAnsi="Courier New" w:cs="Courier New"/>
      <w:lang w:val="ru-RU" w:eastAsia="ru-RU" w:bidi="ar-SA"/>
    </w:rPr>
  </w:style>
  <w:style w:type="paragraph" w:styleId="af1">
    <w:name w:val="Normal (Web)"/>
    <w:basedOn w:val="a"/>
    <w:rsid w:val="00243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243F7C"/>
    <w:pPr>
      <w:ind w:left="720"/>
    </w:pPr>
    <w:rPr>
      <w:rFonts w:cs="Calibri"/>
      <w:lang w:eastAsia="en-US"/>
    </w:rPr>
  </w:style>
  <w:style w:type="character" w:customStyle="1" w:styleId="af2">
    <w:name w:val="Название Знак"/>
    <w:locked/>
    <w:rsid w:val="002F20BB"/>
    <w:rPr>
      <w:rFonts w:ascii="Antiqua" w:hAnsi="Antiqua" w:cs="Antiqua"/>
      <w:b/>
      <w:bCs/>
      <w:sz w:val="28"/>
      <w:szCs w:val="28"/>
      <w:lang w:val="uk-UA" w:eastAsia="uk-UA" w:bidi="ar-SA"/>
    </w:rPr>
  </w:style>
  <w:style w:type="character" w:customStyle="1" w:styleId="21">
    <w:name w:val="Основной текст (2)_"/>
    <w:link w:val="210"/>
    <w:rsid w:val="00C45B94"/>
    <w:rPr>
      <w:sz w:val="22"/>
      <w:szCs w:val="22"/>
      <w:lang w:bidi="ar-SA"/>
    </w:rPr>
  </w:style>
  <w:style w:type="paragraph" w:customStyle="1" w:styleId="210">
    <w:name w:val="Основной текст (2)1"/>
    <w:basedOn w:val="a"/>
    <w:link w:val="21"/>
    <w:rsid w:val="00C45B94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/>
      <w:lang w:val="ru-RU" w:eastAsia="ru-RU"/>
    </w:rPr>
  </w:style>
  <w:style w:type="paragraph" w:customStyle="1" w:styleId="13">
    <w:name w:val=" Знак Знак1 Знак Знак"/>
    <w:basedOn w:val="a"/>
    <w:rsid w:val="0047739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qFormat/>
    <w:rsid w:val="00477399"/>
    <w:rPr>
      <w:rFonts w:cs="Calibri"/>
      <w:sz w:val="22"/>
      <w:szCs w:val="22"/>
      <w:lang w:val="en-US" w:eastAsia="en-US"/>
    </w:rPr>
  </w:style>
  <w:style w:type="character" w:customStyle="1" w:styleId="af4">
    <w:name w:val="Колонтитул_"/>
    <w:link w:val="14"/>
    <w:rsid w:val="00384E9F"/>
    <w:rPr>
      <w:b/>
      <w:bCs/>
      <w:sz w:val="22"/>
      <w:szCs w:val="22"/>
      <w:lang w:bidi="ar-SA"/>
    </w:rPr>
  </w:style>
  <w:style w:type="character" w:customStyle="1" w:styleId="Constantia">
    <w:name w:val="Колонтитул + Constantia"/>
    <w:aliases w:val="4 pt,Не полужирный"/>
    <w:rsid w:val="00384E9F"/>
    <w:rPr>
      <w:rFonts w:ascii="Constantia" w:hAnsi="Constantia" w:cs="Constantia"/>
      <w:b/>
      <w:bCs/>
      <w:sz w:val="8"/>
      <w:szCs w:val="8"/>
      <w:lang w:val="ru-RU" w:eastAsia="ru-RU" w:bidi="ar-SA"/>
    </w:rPr>
  </w:style>
  <w:style w:type="paragraph" w:customStyle="1" w:styleId="14">
    <w:name w:val="Колонтитул1"/>
    <w:basedOn w:val="a"/>
    <w:link w:val="af4"/>
    <w:rsid w:val="00384E9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lang w:val="ru-RU" w:eastAsia="ru-RU"/>
    </w:rPr>
  </w:style>
  <w:style w:type="paragraph" w:styleId="af5">
    <w:name w:val="header"/>
    <w:basedOn w:val="a"/>
    <w:rsid w:val="008D67DF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8D67DF"/>
    <w:pPr>
      <w:tabs>
        <w:tab w:val="center" w:pos="4677"/>
        <w:tab w:val="right" w:pos="9355"/>
      </w:tabs>
    </w:pPr>
  </w:style>
  <w:style w:type="table" w:styleId="af7">
    <w:name w:val="Table Grid"/>
    <w:basedOn w:val="a1"/>
    <w:locked/>
    <w:rsid w:val="007565A7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ubtle Emphasis"/>
    <w:uiPriority w:val="19"/>
    <w:qFormat/>
    <w:rsid w:val="00D927FB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6FAC-0106-4EA1-A55B-C5126215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1607</Words>
  <Characters>9161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2022-02-16T06:32:00Z</cp:lastPrinted>
  <dcterms:created xsi:type="dcterms:W3CDTF">2023-02-23T10:38:00Z</dcterms:created>
  <dcterms:modified xsi:type="dcterms:W3CDTF">2023-02-23T10:38:00Z</dcterms:modified>
</cp:coreProperties>
</file>