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890DCC" w:rsidRPr="000E040E" w:rsidTr="00AE36A1">
        <w:trPr>
          <w:trHeight w:val="4312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B2FDA" w:rsidP="00ED7890">
            <w:pPr>
              <w:pStyle w:val="a3"/>
              <w:keepNext/>
              <w:ind w:firstLine="567"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ED7890">
            <w:pPr>
              <w:pStyle w:val="a3"/>
              <w:keepNext/>
              <w:ind w:firstLine="567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0DCC" w:rsidRPr="00235B8C" w:rsidRDefault="00890DCC" w:rsidP="00ED7890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890DCC" w:rsidRDefault="00AF4722" w:rsidP="00ED7890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LXXI</w:t>
            </w:r>
            <w:r w:rsidR="00890DCC"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r w:rsidR="00890D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890DCC" w:rsidRDefault="00890DCC" w:rsidP="00ED7890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Default="00890DCC" w:rsidP="00ED7890">
            <w:pPr>
              <w:pStyle w:val="a3"/>
              <w:keepNext/>
              <w:tabs>
                <w:tab w:val="left" w:pos="612"/>
              </w:tabs>
              <w:spacing w:line="360" w:lineRule="auto"/>
              <w:ind w:firstLine="567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90DCC" w:rsidRDefault="00890DCC" w:rsidP="00ED7890">
            <w:pPr>
              <w:pStyle w:val="a3"/>
              <w:keepNext/>
              <w:tabs>
                <w:tab w:val="left" w:pos="612"/>
              </w:tabs>
              <w:spacing w:line="360" w:lineRule="auto"/>
              <w:ind w:firstLine="567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Pr="00AF4722" w:rsidRDefault="00AF4722" w:rsidP="00ED789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ind w:firstLine="567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 w:rsidRPr="00AF4722">
              <w:rPr>
                <w:rFonts w:ascii="Times New Roman" w:hAnsi="Times New Roman"/>
                <w:bCs w:val="0"/>
                <w:lang w:val="ru-RU" w:eastAsia="ru-RU"/>
              </w:rPr>
              <w:t>29.11.</w:t>
            </w:r>
            <w:r>
              <w:rPr>
                <w:rFonts w:ascii="Times New Roman" w:hAnsi="Times New Roman"/>
                <w:bCs w:val="0"/>
                <w:lang w:val="en-US" w:eastAsia="ru-RU"/>
              </w:rPr>
              <w:t>2023</w:t>
            </w:r>
            <w:r w:rsidR="00890DCC">
              <w:rPr>
                <w:rFonts w:ascii="Times New Roman" w:hAnsi="Times New Roman"/>
                <w:bCs w:val="0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                              </w:t>
            </w:r>
            <w:r w:rsidR="00890DCC" w:rsidRPr="00B40DF0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71-3/VIII</w:t>
            </w:r>
          </w:p>
          <w:p w:rsidR="00890DCC" w:rsidRPr="00444496" w:rsidRDefault="00890DCC" w:rsidP="00ED7890">
            <w:pPr>
              <w:pStyle w:val="a3"/>
              <w:keepNext/>
              <w:spacing w:line="360" w:lineRule="auto"/>
              <w:ind w:firstLine="567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:rsidR="00890DCC" w:rsidRPr="00444496" w:rsidRDefault="00890DCC" w:rsidP="00ED7890">
            <w:pPr>
              <w:pStyle w:val="a3"/>
              <w:keepNext/>
              <w:spacing w:line="360" w:lineRule="auto"/>
              <w:ind w:firstLine="567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:rsidR="009E3408" w:rsidRDefault="009E3408" w:rsidP="00ED789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E3408" w:rsidRPr="009E3408" w:rsidRDefault="009E3408" w:rsidP="00ED7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3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r w:rsidR="00290C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затвердж</w:t>
      </w:r>
      <w:r w:rsidRPr="009E3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ення</w:t>
      </w:r>
      <w:r w:rsidRPr="009E34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3408">
        <w:rPr>
          <w:rFonts w:ascii="Times New Roman" w:hAnsi="Times New Roman"/>
          <w:sz w:val="28"/>
          <w:szCs w:val="28"/>
          <w:lang w:val="uk-UA"/>
        </w:rPr>
        <w:t xml:space="preserve">комплексної </w:t>
      </w:r>
    </w:p>
    <w:p w:rsidR="009E3408" w:rsidRPr="009E3408" w:rsidRDefault="00ED7890" w:rsidP="00ED7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E3408" w:rsidRPr="009E3408">
        <w:rPr>
          <w:rFonts w:ascii="Times New Roman" w:hAnsi="Times New Roman"/>
          <w:sz w:val="28"/>
          <w:szCs w:val="28"/>
          <w:lang w:val="uk-UA"/>
        </w:rPr>
        <w:t>рограми «Турбота» на 2024-2028 роки</w:t>
      </w:r>
    </w:p>
    <w:p w:rsidR="00ED7890" w:rsidRDefault="00ED7890" w:rsidP="00ED7890">
      <w:pPr>
        <w:pStyle w:val="af2"/>
        <w:tabs>
          <w:tab w:val="clear" w:pos="4153"/>
          <w:tab w:val="clear" w:pos="8306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74F2A" w:rsidRPr="00AB6A41" w:rsidRDefault="00174F2A" w:rsidP="00ED7890">
      <w:pPr>
        <w:pStyle w:val="af2"/>
        <w:tabs>
          <w:tab w:val="clear" w:pos="4153"/>
          <w:tab w:val="clear" w:pos="8306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5B5B">
        <w:rPr>
          <w:sz w:val="28"/>
          <w:szCs w:val="28"/>
          <w:lang w:val="uk-UA"/>
        </w:rPr>
        <w:t>Відповідно до</w:t>
      </w:r>
      <w:r w:rsidRPr="00285B5B">
        <w:rPr>
          <w:rStyle w:val="2Exact"/>
          <w:sz w:val="28"/>
          <w:szCs w:val="28"/>
          <w:lang w:val="uk-UA" w:eastAsia="uk-UA"/>
        </w:rPr>
        <w:t xml:space="preserve"> </w:t>
      </w:r>
      <w:r>
        <w:rPr>
          <w:rStyle w:val="2Exact"/>
          <w:sz w:val="28"/>
          <w:szCs w:val="28"/>
          <w:lang w:val="uk-UA" w:eastAsia="uk-UA"/>
        </w:rPr>
        <w:t xml:space="preserve">п. 22 ч. 1 ст. 26, </w:t>
      </w:r>
      <w:r w:rsidRPr="00285B5B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3 ч. 4 ст.</w:t>
      </w:r>
      <w:r w:rsidR="00AF4722" w:rsidRPr="00AF4722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42, </w:t>
      </w:r>
      <w:r w:rsidRPr="00285B5B">
        <w:rPr>
          <w:rStyle w:val="2Exact"/>
          <w:sz w:val="28"/>
          <w:szCs w:val="28"/>
          <w:lang w:val="uk-UA" w:eastAsia="uk-UA"/>
        </w:rPr>
        <w:t xml:space="preserve">ч. </w:t>
      </w:r>
      <w:r>
        <w:rPr>
          <w:rStyle w:val="2Exact"/>
          <w:sz w:val="28"/>
          <w:szCs w:val="28"/>
          <w:lang w:val="uk-UA" w:eastAsia="uk-UA"/>
        </w:rPr>
        <w:t>1</w:t>
      </w:r>
      <w:r w:rsidRPr="00285B5B">
        <w:rPr>
          <w:rStyle w:val="2Exact"/>
          <w:sz w:val="28"/>
          <w:szCs w:val="28"/>
          <w:lang w:val="uk-UA" w:eastAsia="uk-UA"/>
        </w:rPr>
        <w:t xml:space="preserve"> ст. 59 </w:t>
      </w:r>
      <w:r w:rsidRPr="00285B5B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від 21.05.1997 </w:t>
      </w:r>
      <w:r w:rsidR="00AF4722" w:rsidRPr="00AF4722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№ 280/97-ВР «Про місцеве самоврядування в Україні», ст.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70,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21 ч.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1 ст.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91 Бюджетного кодексу України від 08.07.2010 № 2456-</w:t>
      </w:r>
      <w:r w:rsidRPr="00285B5B">
        <w:rPr>
          <w:sz w:val="28"/>
          <w:szCs w:val="28"/>
        </w:rPr>
        <w:t>VI</w:t>
      </w:r>
      <w:r w:rsidRPr="00285B5B">
        <w:rPr>
          <w:sz w:val="28"/>
          <w:szCs w:val="28"/>
          <w:lang w:val="uk-UA"/>
        </w:rPr>
        <w:t>,</w:t>
      </w:r>
      <w:r w:rsidRPr="00ED7890">
        <w:rPr>
          <w:rStyle w:val="af"/>
          <w:sz w:val="28"/>
          <w:szCs w:val="28"/>
          <w:lang w:val="uk-UA" w:eastAsia="uk-UA"/>
        </w:rPr>
        <w:t xml:space="preserve"> </w:t>
      </w:r>
      <w:r w:rsidRPr="00285B5B">
        <w:rPr>
          <w:sz w:val="28"/>
          <w:szCs w:val="28"/>
          <w:lang w:val="uk-UA"/>
        </w:rPr>
        <w:t>враховуючи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AB6A41">
        <w:rPr>
          <w:sz w:val="28"/>
          <w:szCs w:val="28"/>
          <w:lang w:val="uk-UA"/>
        </w:rPr>
        <w:t xml:space="preserve">від </w:t>
      </w:r>
      <w:r w:rsidR="009E3408">
        <w:rPr>
          <w:sz w:val="28"/>
          <w:szCs w:val="28"/>
          <w:lang w:val="uk-UA"/>
        </w:rPr>
        <w:t>16</w:t>
      </w:r>
      <w:r w:rsidR="0071548E">
        <w:rPr>
          <w:sz w:val="28"/>
          <w:szCs w:val="28"/>
          <w:lang w:val="uk-UA"/>
        </w:rPr>
        <w:t>.</w:t>
      </w:r>
      <w:r w:rsidR="009E3408">
        <w:rPr>
          <w:sz w:val="28"/>
          <w:szCs w:val="28"/>
          <w:lang w:val="uk-UA"/>
        </w:rPr>
        <w:t>11</w:t>
      </w:r>
      <w:r w:rsidR="0071548E">
        <w:rPr>
          <w:sz w:val="28"/>
          <w:szCs w:val="28"/>
          <w:lang w:val="uk-UA"/>
        </w:rPr>
        <w:t>.2023</w:t>
      </w:r>
      <w:r w:rsidR="009E3408">
        <w:rPr>
          <w:sz w:val="28"/>
          <w:szCs w:val="28"/>
          <w:lang w:val="uk-UA"/>
        </w:rPr>
        <w:t xml:space="preserve"> </w:t>
      </w:r>
      <w:r w:rsidRPr="00AB6A4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9E3408">
        <w:rPr>
          <w:sz w:val="28"/>
          <w:szCs w:val="28"/>
          <w:lang w:val="uk-UA"/>
        </w:rPr>
        <w:t>456</w:t>
      </w:r>
      <w:r w:rsidRPr="00AB6A41">
        <w:rPr>
          <w:sz w:val="28"/>
          <w:szCs w:val="28"/>
          <w:lang w:val="uk-UA"/>
        </w:rPr>
        <w:t xml:space="preserve">, міська рада </w:t>
      </w:r>
    </w:p>
    <w:p w:rsidR="00174F2A" w:rsidRDefault="00174F2A" w:rsidP="00ED7890">
      <w:pPr>
        <w:pStyle w:val="af2"/>
        <w:tabs>
          <w:tab w:val="clear" w:pos="4153"/>
          <w:tab w:val="left" w:pos="540"/>
          <w:tab w:val="left" w:pos="709"/>
          <w:tab w:val="center" w:pos="851"/>
          <w:tab w:val="left" w:pos="7088"/>
        </w:tabs>
        <w:jc w:val="both"/>
        <w:rPr>
          <w:sz w:val="28"/>
          <w:szCs w:val="28"/>
          <w:lang w:val="uk-UA"/>
        </w:rPr>
      </w:pPr>
      <w:r w:rsidRPr="00AB6A41">
        <w:rPr>
          <w:sz w:val="28"/>
          <w:szCs w:val="28"/>
          <w:lang w:val="uk-UA"/>
        </w:rPr>
        <w:t>ВИРІШИЛА:</w:t>
      </w:r>
    </w:p>
    <w:p w:rsidR="00ED7890" w:rsidRPr="00AB6A41" w:rsidRDefault="00ED7890" w:rsidP="00ED7890">
      <w:pPr>
        <w:pStyle w:val="af2"/>
        <w:tabs>
          <w:tab w:val="clear" w:pos="4153"/>
          <w:tab w:val="left" w:pos="540"/>
          <w:tab w:val="left" w:pos="709"/>
          <w:tab w:val="center" w:pos="851"/>
          <w:tab w:val="left" w:pos="7088"/>
        </w:tabs>
        <w:jc w:val="both"/>
        <w:rPr>
          <w:sz w:val="28"/>
          <w:szCs w:val="28"/>
          <w:lang w:val="uk-UA"/>
        </w:rPr>
      </w:pPr>
    </w:p>
    <w:p w:rsidR="00174F2A" w:rsidRDefault="00E863B1" w:rsidP="00ED7890">
      <w:pPr>
        <w:tabs>
          <w:tab w:val="left" w:pos="567"/>
          <w:tab w:val="left" w:pos="5954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3B1">
        <w:rPr>
          <w:rFonts w:ascii="Times New Roman" w:hAnsi="Times New Roman"/>
          <w:spacing w:val="6"/>
          <w:sz w:val="28"/>
          <w:szCs w:val="28"/>
          <w:lang w:val="uk-UA"/>
        </w:rPr>
        <w:t>1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. </w:t>
      </w:r>
      <w:r w:rsidR="00174F2A" w:rsidRPr="00174F2A">
        <w:rPr>
          <w:rFonts w:ascii="Times New Roman" w:hAnsi="Times New Roman"/>
          <w:spacing w:val="6"/>
          <w:sz w:val="28"/>
          <w:szCs w:val="28"/>
          <w:lang w:val="uk-UA"/>
        </w:rPr>
        <w:t xml:space="preserve">Затвердити комплексну </w:t>
      </w:r>
      <w:r w:rsidR="00ED7890">
        <w:rPr>
          <w:rFonts w:ascii="Times New Roman" w:hAnsi="Times New Roman"/>
          <w:sz w:val="28"/>
          <w:szCs w:val="28"/>
          <w:lang w:val="uk-UA"/>
        </w:rPr>
        <w:t>п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9E3408">
        <w:rPr>
          <w:rFonts w:ascii="Times New Roman" w:hAnsi="Times New Roman"/>
          <w:sz w:val="28"/>
          <w:szCs w:val="28"/>
          <w:lang w:val="uk-UA"/>
        </w:rPr>
        <w:t>«Турбота»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9E3408">
        <w:rPr>
          <w:rFonts w:ascii="Times New Roman" w:hAnsi="Times New Roman"/>
          <w:sz w:val="28"/>
          <w:szCs w:val="28"/>
          <w:lang w:val="uk-UA"/>
        </w:rPr>
        <w:t>4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>-202</w:t>
      </w:r>
      <w:r w:rsidR="009E3408">
        <w:rPr>
          <w:rFonts w:ascii="Times New Roman" w:hAnsi="Times New Roman"/>
          <w:sz w:val="28"/>
          <w:szCs w:val="28"/>
          <w:lang w:val="uk-UA"/>
        </w:rPr>
        <w:t>8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 роки (далі</w:t>
      </w:r>
      <w:r w:rsidR="00ED789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>Програма) згідно з додатком.</w:t>
      </w:r>
    </w:p>
    <w:p w:rsidR="00E863B1" w:rsidRDefault="00E863B1" w:rsidP="00ED7890">
      <w:pPr>
        <w:tabs>
          <w:tab w:val="left" w:pos="567"/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94936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Смілянської міської ради передбачити видатки в бюджеті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</w:t>
      </w:r>
      <w:r w:rsidR="00694936">
        <w:rPr>
          <w:rFonts w:ascii="Times New Roman" w:hAnsi="Times New Roman"/>
          <w:sz w:val="28"/>
          <w:szCs w:val="28"/>
          <w:lang w:val="uk-UA"/>
        </w:rPr>
        <w:t xml:space="preserve"> на фінансування заходів Програми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5AE0" w:rsidRPr="00161AC6" w:rsidRDefault="00161AC6" w:rsidP="00ED789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9493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ішення міської ради від </w:t>
      </w:r>
      <w:r w:rsidRPr="00C37711">
        <w:rPr>
          <w:rFonts w:ascii="Times New Roman" w:hAnsi="Times New Roman"/>
          <w:sz w:val="28"/>
          <w:szCs w:val="28"/>
        </w:rPr>
        <w:t xml:space="preserve">24.06.2021 № </w:t>
      </w:r>
      <w:bookmarkStart w:id="0" w:name="_Hlk150416704"/>
      <w:r w:rsidRPr="00C37711">
        <w:rPr>
          <w:rFonts w:ascii="Times New Roman" w:hAnsi="Times New Roman"/>
          <w:sz w:val="28"/>
          <w:szCs w:val="28"/>
        </w:rPr>
        <w:t>17-25/</w:t>
      </w:r>
      <w:bookmarkStart w:id="1" w:name="_Hlk150419422"/>
      <w:r w:rsidRPr="00C37711">
        <w:rPr>
          <w:rFonts w:ascii="Times New Roman" w:hAnsi="Times New Roman"/>
          <w:sz w:val="28"/>
          <w:szCs w:val="28"/>
          <w:lang w:val="en-US"/>
        </w:rPr>
        <w:t>VIII</w:t>
      </w:r>
      <w:bookmarkEnd w:id="0"/>
      <w:bookmarkEnd w:id="1"/>
      <w:r w:rsidRPr="00C37711">
        <w:rPr>
          <w:rFonts w:ascii="Times New Roman" w:hAnsi="Times New Roman"/>
          <w:sz w:val="28"/>
          <w:szCs w:val="28"/>
        </w:rPr>
        <w:t xml:space="preserve"> «Про затвердження Програми організації та компенсації перевезень пільгових категорій населення на автобусних маршрутах загального користування у м. Сміла на 2022-2024 роки», від 23.12.2021 № 35-28/</w:t>
      </w:r>
      <w:r w:rsidRPr="00C37711">
        <w:rPr>
          <w:rFonts w:ascii="Times New Roman" w:hAnsi="Times New Roman"/>
          <w:sz w:val="28"/>
          <w:szCs w:val="28"/>
          <w:lang w:val="en-US"/>
        </w:rPr>
        <w:t>VIII</w:t>
      </w:r>
      <w:r w:rsidRPr="00C37711">
        <w:rPr>
          <w:rFonts w:ascii="Times New Roman" w:hAnsi="Times New Roman"/>
          <w:sz w:val="28"/>
          <w:szCs w:val="28"/>
        </w:rPr>
        <w:t xml:space="preserve"> «Про затвердження Програми відшкодування коштів за зубопротезування окремим пільговим категоріям населення міста Сміла на 2022-2024 роки»</w:t>
      </w:r>
      <w:r w:rsidR="00ED7890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C37711">
        <w:rPr>
          <w:rFonts w:ascii="Times New Roman" w:hAnsi="Times New Roman"/>
          <w:sz w:val="28"/>
          <w:szCs w:val="28"/>
        </w:rPr>
        <w:t>, від 25.01.2023 № 57-30/</w:t>
      </w:r>
      <w:r w:rsidRPr="00C37711">
        <w:rPr>
          <w:rFonts w:ascii="Times New Roman" w:hAnsi="Times New Roman"/>
          <w:sz w:val="28"/>
          <w:szCs w:val="28"/>
          <w:lang w:val="en-US"/>
        </w:rPr>
        <w:t>VIII</w:t>
      </w:r>
      <w:r w:rsidRPr="00C37711">
        <w:rPr>
          <w:rFonts w:ascii="Times New Roman" w:hAnsi="Times New Roman"/>
          <w:sz w:val="28"/>
          <w:szCs w:val="28"/>
        </w:rPr>
        <w:t xml:space="preserve"> «Про надання </w:t>
      </w:r>
      <w:proofErr w:type="gramStart"/>
      <w:r w:rsidRPr="00C37711">
        <w:rPr>
          <w:rFonts w:ascii="Times New Roman" w:hAnsi="Times New Roman"/>
          <w:sz w:val="28"/>
          <w:szCs w:val="28"/>
        </w:rPr>
        <w:t>п</w:t>
      </w:r>
      <w:proofErr w:type="gramEnd"/>
      <w:r w:rsidRPr="00C37711">
        <w:rPr>
          <w:rFonts w:ascii="Times New Roman" w:hAnsi="Times New Roman"/>
          <w:sz w:val="28"/>
          <w:szCs w:val="28"/>
        </w:rPr>
        <w:t>ільг за рахунок бюджету Смілянської міської територіальної громади на абонентну плату за користування телефоном у 2023-2024 роках», від 25.01.2023 № 57-29/</w:t>
      </w:r>
      <w:r w:rsidRPr="00C37711">
        <w:rPr>
          <w:rFonts w:ascii="Times New Roman" w:hAnsi="Times New Roman"/>
          <w:sz w:val="28"/>
          <w:szCs w:val="28"/>
          <w:lang w:val="en-US"/>
        </w:rPr>
        <w:t>VIII</w:t>
      </w:r>
      <w:r w:rsidRPr="00C37711">
        <w:rPr>
          <w:rFonts w:ascii="Times New Roman" w:hAnsi="Times New Roman"/>
          <w:sz w:val="28"/>
          <w:szCs w:val="28"/>
        </w:rPr>
        <w:t xml:space="preserve"> «Про надання пільг окремим категоріям громадян зареєстрованих у м. Сміла на оплату житлово-комунальних послуг, придбання твердого палива та послуг зв’язку на 2023-2024 роки»</w:t>
      </w:r>
      <w:r>
        <w:rPr>
          <w:rFonts w:ascii="Times New Roman" w:hAnsi="Times New Roman"/>
          <w:sz w:val="28"/>
          <w:szCs w:val="28"/>
        </w:rPr>
        <w:t>, від 24.06.2021 № 17-</w:t>
      </w:r>
      <w:r w:rsidR="00ED789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8/</w:t>
      </w:r>
      <w:r w:rsidRPr="00C37711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затвердження Програми здійснення компенсаційних виплат за надання </w:t>
      </w:r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іальних послуг з догляду на непрофесійній основі на 2022-2024 роки»</w:t>
      </w:r>
      <w:r>
        <w:rPr>
          <w:rFonts w:ascii="Times New Roman" w:hAnsi="Times New Roman"/>
          <w:sz w:val="28"/>
          <w:szCs w:val="28"/>
          <w:lang w:val="uk-UA"/>
        </w:rPr>
        <w:t>, від 24.06.2021 № 17-27/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соціальної політики та розвитку соціального захисту на 2022-2024 роки»</w:t>
      </w:r>
      <w:r w:rsidR="00325AE0">
        <w:rPr>
          <w:rFonts w:ascii="Times New Roman" w:hAnsi="Times New Roman"/>
          <w:sz w:val="28"/>
          <w:szCs w:val="28"/>
          <w:lang w:val="uk-UA"/>
        </w:rPr>
        <w:t xml:space="preserve"> вважати таким</w:t>
      </w:r>
      <w:r w:rsidR="00ED7890">
        <w:rPr>
          <w:rFonts w:ascii="Times New Roman" w:hAnsi="Times New Roman"/>
          <w:sz w:val="28"/>
          <w:szCs w:val="28"/>
          <w:lang w:val="uk-UA"/>
        </w:rPr>
        <w:t>и</w:t>
      </w:r>
      <w:r w:rsidR="00325AE0">
        <w:rPr>
          <w:rFonts w:ascii="Times New Roman" w:hAnsi="Times New Roman"/>
          <w:sz w:val="28"/>
          <w:szCs w:val="28"/>
          <w:lang w:val="uk-UA"/>
        </w:rPr>
        <w:t>, що втрати</w:t>
      </w:r>
      <w:r w:rsidR="00ED7890">
        <w:rPr>
          <w:rFonts w:ascii="Times New Roman" w:hAnsi="Times New Roman"/>
          <w:sz w:val="28"/>
          <w:szCs w:val="28"/>
          <w:lang w:val="uk-UA"/>
        </w:rPr>
        <w:t>ли</w:t>
      </w:r>
      <w:r w:rsidR="00325AE0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290C04">
        <w:rPr>
          <w:rFonts w:ascii="Times New Roman" w:hAnsi="Times New Roman"/>
          <w:sz w:val="28"/>
          <w:szCs w:val="28"/>
          <w:lang w:val="uk-UA"/>
        </w:rPr>
        <w:t xml:space="preserve"> з 01.01.2024</w:t>
      </w:r>
      <w:r w:rsidR="00E6385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25AE0">
        <w:rPr>
          <w:rFonts w:ascii="Times New Roman" w:hAnsi="Times New Roman"/>
          <w:sz w:val="28"/>
          <w:szCs w:val="28"/>
          <w:lang w:val="uk-UA"/>
        </w:rPr>
        <w:t>.</w:t>
      </w:r>
    </w:p>
    <w:p w:rsidR="009E3408" w:rsidRDefault="00290C04" w:rsidP="00ED789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BD60FD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</w:t>
      </w:r>
      <w:r w:rsidR="00694936" w:rsidRPr="00694936">
        <w:rPr>
          <w:rFonts w:ascii="Times New Roman" w:hAnsi="Times New Roman"/>
          <w:bCs/>
          <w:sz w:val="28"/>
          <w:szCs w:val="28"/>
        </w:rPr>
        <w:t>відповідно до функціональних повноважень</w:t>
      </w:r>
      <w:r w:rsidR="00694936">
        <w:rPr>
          <w:b/>
          <w:sz w:val="28"/>
          <w:szCs w:val="28"/>
        </w:rPr>
        <w:t xml:space="preserve"> </w:t>
      </w:r>
      <w:r w:rsidR="00BD60FD">
        <w:rPr>
          <w:rFonts w:ascii="Times New Roman" w:hAnsi="Times New Roman"/>
          <w:sz w:val="28"/>
          <w:szCs w:val="28"/>
          <w:lang w:val="uk-UA"/>
        </w:rPr>
        <w:t>та управління праці та соціального захисту населення.</w:t>
      </w:r>
    </w:p>
    <w:p w:rsidR="00BD60FD" w:rsidRPr="00733D4D" w:rsidRDefault="00290C04" w:rsidP="00ED789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D60F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 рішення покласти на секретаря міської ради, постійну комісію </w:t>
      </w:r>
      <w:r w:rsidR="00733D4D">
        <w:rPr>
          <w:rFonts w:ascii="Times New Roman" w:hAnsi="Times New Roman"/>
          <w:sz w:val="28"/>
          <w:szCs w:val="28"/>
          <w:lang w:val="uk-UA"/>
        </w:rPr>
        <w:t>міської ради з питань освіти, молоді та спорту, культури, охорони здоров</w:t>
      </w:r>
      <w:r w:rsidR="00733D4D" w:rsidRPr="00ED7890">
        <w:rPr>
          <w:rFonts w:ascii="Times New Roman" w:hAnsi="Times New Roman"/>
          <w:sz w:val="28"/>
          <w:szCs w:val="28"/>
          <w:lang w:val="uk-UA"/>
        </w:rPr>
        <w:t>’</w:t>
      </w:r>
      <w:r w:rsidR="00733D4D">
        <w:rPr>
          <w:rFonts w:ascii="Times New Roman" w:hAnsi="Times New Roman"/>
          <w:sz w:val="28"/>
          <w:szCs w:val="28"/>
          <w:lang w:val="uk-UA"/>
        </w:rPr>
        <w:t>я, соціального захисту, засобів масової інформації та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E863B1" w:rsidRPr="00B9646E" w:rsidRDefault="00E863B1" w:rsidP="00ED7890">
      <w:pPr>
        <w:tabs>
          <w:tab w:val="left" w:pos="567"/>
        </w:tabs>
        <w:spacing w:after="0" w:line="240" w:lineRule="auto"/>
        <w:ind w:right="-113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F2A" w:rsidRPr="00174F2A" w:rsidRDefault="00174F2A" w:rsidP="00ED7890">
      <w:pPr>
        <w:tabs>
          <w:tab w:val="left" w:pos="7655"/>
        </w:tabs>
        <w:spacing w:after="0" w:line="240" w:lineRule="auto"/>
        <w:ind w:right="-1135" w:firstLine="567"/>
        <w:rPr>
          <w:rFonts w:ascii="Times New Roman" w:hAnsi="Times New Roman"/>
          <w:sz w:val="28"/>
          <w:szCs w:val="28"/>
          <w:lang w:val="uk-UA"/>
        </w:rPr>
      </w:pPr>
    </w:p>
    <w:p w:rsidR="00174F2A" w:rsidRPr="00174F2A" w:rsidRDefault="00174F2A" w:rsidP="00ED7890">
      <w:pPr>
        <w:spacing w:after="0" w:line="240" w:lineRule="auto"/>
        <w:ind w:right="-1135"/>
        <w:rPr>
          <w:rFonts w:ascii="Times New Roman" w:hAnsi="Times New Roman"/>
          <w:sz w:val="28"/>
          <w:szCs w:val="28"/>
          <w:lang w:val="uk-UA"/>
        </w:rPr>
      </w:pPr>
      <w:r w:rsidRPr="00ED789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ED7890" w:rsidRPr="00ED7890">
        <w:rPr>
          <w:rFonts w:ascii="Times New Roman" w:hAnsi="Times New Roman"/>
          <w:sz w:val="28"/>
          <w:szCs w:val="28"/>
          <w:lang w:val="uk-UA"/>
        </w:rPr>
        <w:tab/>
      </w:r>
      <w:r w:rsidR="00ED7890" w:rsidRP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="00ED7890">
        <w:rPr>
          <w:rFonts w:ascii="Times New Roman" w:hAnsi="Times New Roman"/>
          <w:sz w:val="28"/>
          <w:szCs w:val="28"/>
          <w:lang w:val="uk-UA"/>
        </w:rPr>
        <w:tab/>
      </w:r>
      <w:r w:rsidRPr="00ED789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74F2A" w:rsidRPr="00ED7890" w:rsidRDefault="00174F2A" w:rsidP="00ED7890">
      <w:pPr>
        <w:tabs>
          <w:tab w:val="left" w:pos="6946"/>
          <w:tab w:val="left" w:pos="7088"/>
        </w:tabs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931DD" w:rsidRPr="00ED7890" w:rsidRDefault="00A931DD" w:rsidP="00ED7890">
      <w:pPr>
        <w:spacing w:after="0" w:line="240" w:lineRule="auto"/>
        <w:ind w:firstLine="567"/>
        <w:jc w:val="both"/>
        <w:rPr>
          <w:rStyle w:val="ae"/>
          <w:lang w:val="uk-UA"/>
        </w:rPr>
      </w:pPr>
    </w:p>
    <w:p w:rsidR="00A931DD" w:rsidRPr="00ED7890" w:rsidRDefault="00A931DD" w:rsidP="00ED7890">
      <w:pPr>
        <w:tabs>
          <w:tab w:val="left" w:pos="7088"/>
        </w:tabs>
        <w:spacing w:after="0" w:line="240" w:lineRule="auto"/>
        <w:ind w:firstLine="567"/>
        <w:jc w:val="both"/>
        <w:rPr>
          <w:rStyle w:val="ae"/>
          <w:lang w:val="uk-UA"/>
        </w:rPr>
      </w:pPr>
    </w:p>
    <w:p w:rsidR="00AE36A1" w:rsidRDefault="00AE36A1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E36A1" w:rsidRDefault="00AE36A1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E36A1" w:rsidRDefault="00AE36A1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D7890" w:rsidRDefault="00ED7890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290C04" w:rsidRDefault="00290C04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ED789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931DD" w:rsidRDefault="00F053B8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 w:rsidRPr="00F053B8">
        <w:rPr>
          <w:rStyle w:val="ae"/>
          <w:rFonts w:ascii="Times New Roman" w:hAnsi="Times New Roman"/>
          <w:sz w:val="28"/>
          <w:szCs w:val="28"/>
          <w:lang w:val="uk-UA"/>
        </w:rPr>
        <w:t>ПОГОДЖЕНО</w:t>
      </w:r>
    </w:p>
    <w:p w:rsidR="00F053B8" w:rsidRDefault="00F053B8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F053B8" w:rsidRDefault="00F053B8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344A5E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Юрій СТУДАНС</w:t>
      </w:r>
    </w:p>
    <w:p w:rsidR="00F053B8" w:rsidRDefault="00F053B8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E36A1" w:rsidRDefault="00F053B8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Постійна комісія міської ради з</w:t>
      </w:r>
    </w:p>
    <w:p w:rsidR="00F053B8" w:rsidRDefault="00290C04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итань</w:t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 xml:space="preserve"> </w:t>
      </w:r>
      <w:r w:rsidR="00A04059">
        <w:rPr>
          <w:rStyle w:val="ae"/>
          <w:rFonts w:ascii="Times New Roman" w:hAnsi="Times New Roman"/>
          <w:sz w:val="28"/>
          <w:szCs w:val="28"/>
          <w:lang w:val="uk-UA"/>
        </w:rPr>
        <w:t>м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ісцевого бюджету, фінансів,</w:t>
      </w:r>
    </w:p>
    <w:p w:rsidR="00F053B8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одаткової політики, розвитку</w:t>
      </w:r>
    </w:p>
    <w:p w:rsidR="00F053B8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ідприємни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 xml:space="preserve">цтва, захисту прав 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споживачів, комунальної власності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344A5E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Юлія ЛЮБЧЕНКО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Постійна комісія міської ради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ED7890">
        <w:rPr>
          <w:rStyle w:val="ae"/>
          <w:rFonts w:ascii="Times New Roman" w:hAnsi="Times New Roman"/>
          <w:sz w:val="28"/>
          <w:szCs w:val="28"/>
        </w:rPr>
        <w:t>’</w:t>
      </w:r>
      <w:r>
        <w:rPr>
          <w:rStyle w:val="ae"/>
          <w:rFonts w:ascii="Times New Roman" w:hAnsi="Times New Roman"/>
          <w:sz w:val="28"/>
          <w:szCs w:val="28"/>
          <w:lang w:val="uk-UA"/>
        </w:rPr>
        <w:t>я,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соціального захисту, засобів</w:t>
      </w:r>
    </w:p>
    <w:p w:rsidR="00A04059" w:rsidRDefault="00A04059" w:rsidP="00ED7890">
      <w:pPr>
        <w:spacing w:after="0" w:line="240" w:lineRule="auto"/>
        <w:ind w:right="-99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055B9D">
        <w:rPr>
          <w:rStyle w:val="ae"/>
          <w:rFonts w:ascii="Times New Roman" w:hAnsi="Times New Roman"/>
          <w:sz w:val="28"/>
          <w:szCs w:val="28"/>
          <w:lang w:val="uk-UA"/>
        </w:rPr>
        <w:t>Рамазан ТАІБОВ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ED7890">
      <w:pPr>
        <w:spacing w:after="0" w:line="240" w:lineRule="auto"/>
        <w:ind w:right="-851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ED7890">
        <w:rPr>
          <w:rStyle w:val="ae"/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Style w:val="ae"/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E63855" w:rsidRDefault="00E63855" w:rsidP="00ED7890">
      <w:pPr>
        <w:spacing w:after="0" w:line="240" w:lineRule="auto"/>
        <w:ind w:right="-851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63855" w:rsidRDefault="00E63855" w:rsidP="00ED7890">
      <w:pPr>
        <w:spacing w:after="0" w:line="240" w:lineRule="auto"/>
        <w:ind w:right="-851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Юридичний відділ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A04059" w:rsidRDefault="00A04059" w:rsidP="00ED7890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ED7890">
      <w:pPr>
        <w:tabs>
          <w:tab w:val="left" w:pos="10490"/>
        </w:tabs>
        <w:spacing w:after="0" w:line="240" w:lineRule="auto"/>
        <w:ind w:right="-99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Начальник управління праці та</w:t>
      </w:r>
    </w:p>
    <w:p w:rsidR="00AE36A1" w:rsidRDefault="00A04059" w:rsidP="00ED7890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99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Микола ПРОКОФ</w:t>
      </w:r>
      <w:r w:rsidRPr="00ED7890">
        <w:rPr>
          <w:rStyle w:val="ae"/>
          <w:rFonts w:ascii="Times New Roman" w:hAnsi="Times New Roman"/>
          <w:sz w:val="28"/>
          <w:szCs w:val="28"/>
        </w:rPr>
        <w:t>’</w:t>
      </w:r>
      <w:r>
        <w:rPr>
          <w:rStyle w:val="ae"/>
          <w:rFonts w:ascii="Times New Roman" w:hAnsi="Times New Roman"/>
          <w:sz w:val="28"/>
          <w:szCs w:val="28"/>
          <w:lang w:val="uk-UA"/>
        </w:rPr>
        <w:t>ЄВ</w:t>
      </w:r>
    </w:p>
    <w:p w:rsid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427"/>
        <w:jc w:val="both"/>
        <w:rPr>
          <w:rStyle w:val="ae"/>
          <w:rFonts w:ascii="Times New Roman" w:hAnsi="Times New Roman"/>
          <w:sz w:val="28"/>
          <w:szCs w:val="28"/>
          <w:lang w:val="uk-UA"/>
        </w:rPr>
        <w:sectPr w:rsidR="009535FC" w:rsidSect="00D9468E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9535FC" w:rsidRPr="009535FC" w:rsidRDefault="009535FC" w:rsidP="00855BA7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lastRenderedPageBreak/>
        <w:tab/>
        <w:t xml:space="preserve">                                        </w:t>
      </w:r>
      <w:r w:rsidR="00855BA7">
        <w:rPr>
          <w:rStyle w:val="ae"/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Style w:val="ae"/>
          <w:rFonts w:ascii="Times New Roman" w:hAnsi="Times New Roman"/>
          <w:sz w:val="28"/>
          <w:szCs w:val="28"/>
          <w:lang w:val="uk-UA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</w:t>
      </w:r>
      <w:r w:rsidR="00855BA7">
        <w:rPr>
          <w:rStyle w:val="ae"/>
          <w:rFonts w:ascii="Times New Roman" w:hAnsi="Times New Roman"/>
          <w:sz w:val="28"/>
          <w:szCs w:val="28"/>
          <w:lang w:val="uk-UA"/>
        </w:rPr>
        <w:t xml:space="preserve">   </w:t>
      </w:r>
      <w:r w:rsidRPr="009535FC">
        <w:rPr>
          <w:rStyle w:val="ae"/>
          <w:rFonts w:ascii="Times New Roman" w:hAnsi="Times New Roman"/>
          <w:sz w:val="28"/>
          <w:szCs w:val="28"/>
          <w:lang w:val="uk-UA"/>
        </w:rPr>
        <w:t>ЗАТВЕРДЖЕНО</w:t>
      </w: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</w:t>
      </w:r>
      <w:r w:rsidR="00855BA7">
        <w:rPr>
          <w:rStyle w:val="ae"/>
          <w:rFonts w:ascii="Times New Roman" w:hAnsi="Times New Roman"/>
          <w:sz w:val="28"/>
          <w:szCs w:val="28"/>
          <w:lang w:val="uk-UA"/>
        </w:rPr>
        <w:t xml:space="preserve">   </w:t>
      </w:r>
      <w:r w:rsidRPr="009535FC">
        <w:rPr>
          <w:rStyle w:val="ae"/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9535FC" w:rsidRPr="00181241" w:rsidRDefault="007543E8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AF4722" w:rsidRPr="00181241">
        <w:rPr>
          <w:rStyle w:val="ae"/>
          <w:rFonts w:ascii="Times New Roman" w:hAnsi="Times New Roman"/>
          <w:sz w:val="28"/>
          <w:szCs w:val="28"/>
        </w:rPr>
        <w:t xml:space="preserve">  </w:t>
      </w:r>
      <w:r>
        <w:rPr>
          <w:rStyle w:val="ae"/>
          <w:rFonts w:ascii="Times New Roman" w:hAnsi="Times New Roman"/>
          <w:sz w:val="28"/>
          <w:szCs w:val="28"/>
          <w:lang w:val="uk-UA"/>
        </w:rPr>
        <w:t xml:space="preserve"> </w:t>
      </w:r>
      <w:r w:rsidR="009535FC">
        <w:rPr>
          <w:rStyle w:val="ae"/>
          <w:rFonts w:ascii="Times New Roman" w:hAnsi="Times New Roman"/>
          <w:sz w:val="28"/>
          <w:szCs w:val="28"/>
          <w:lang w:val="uk-UA"/>
        </w:rPr>
        <w:t>від</w:t>
      </w:r>
      <w:r w:rsidR="00AF4722" w:rsidRPr="00AF4722">
        <w:rPr>
          <w:rStyle w:val="ae"/>
          <w:rFonts w:ascii="Times New Roman" w:hAnsi="Times New Roman"/>
          <w:sz w:val="28"/>
          <w:szCs w:val="28"/>
        </w:rPr>
        <w:t xml:space="preserve"> 29.11.</w:t>
      </w:r>
      <w:r w:rsidR="00AF4722" w:rsidRPr="00181241">
        <w:rPr>
          <w:rStyle w:val="ae"/>
          <w:rFonts w:ascii="Times New Roman" w:hAnsi="Times New Roman"/>
          <w:sz w:val="28"/>
          <w:szCs w:val="28"/>
        </w:rPr>
        <w:t xml:space="preserve">2023 </w:t>
      </w:r>
      <w:r w:rsidR="009535FC">
        <w:rPr>
          <w:rStyle w:val="ae"/>
          <w:rFonts w:ascii="Times New Roman" w:hAnsi="Times New Roman"/>
          <w:sz w:val="28"/>
          <w:szCs w:val="28"/>
          <w:lang w:val="uk-UA"/>
        </w:rPr>
        <w:t xml:space="preserve">№  </w:t>
      </w:r>
      <w:r w:rsidR="00AF4722" w:rsidRPr="00181241">
        <w:rPr>
          <w:rStyle w:val="ae"/>
          <w:rFonts w:ascii="Times New Roman" w:hAnsi="Times New Roman"/>
          <w:sz w:val="28"/>
          <w:szCs w:val="28"/>
        </w:rPr>
        <w:t>71-3/</w:t>
      </w:r>
      <w:r w:rsidR="00AF4722">
        <w:rPr>
          <w:rStyle w:val="ae"/>
          <w:rFonts w:ascii="Times New Roman" w:hAnsi="Times New Roman"/>
          <w:sz w:val="28"/>
          <w:szCs w:val="28"/>
          <w:lang w:val="en-US"/>
        </w:rPr>
        <w:t>VIII</w:t>
      </w: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right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9535FC" w:rsidRPr="00181241" w:rsidRDefault="009535FC" w:rsidP="00AF4722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</w:rPr>
      </w:pP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Комплексна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F4722">
        <w:rPr>
          <w:rStyle w:val="ae"/>
          <w:rFonts w:ascii="Times New Roman" w:hAnsi="Times New Roman"/>
          <w:sz w:val="28"/>
          <w:szCs w:val="28"/>
        </w:rPr>
        <w:t>програма</w:t>
      </w:r>
      <w:r w:rsidR="00AF4722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D9468E">
        <w:rPr>
          <w:rStyle w:val="ae"/>
          <w:rFonts w:ascii="Times New Roman" w:hAnsi="Times New Roman"/>
          <w:sz w:val="28"/>
          <w:szCs w:val="28"/>
          <w:lang w:val="uk-UA"/>
        </w:rPr>
        <w:t>«</w:t>
      </w:r>
      <w:r w:rsidR="00D9468E">
        <w:rPr>
          <w:rStyle w:val="ae"/>
          <w:rFonts w:ascii="Times New Roman" w:hAnsi="Times New Roman"/>
          <w:sz w:val="28"/>
          <w:szCs w:val="28"/>
        </w:rPr>
        <w:t>Турбота</w:t>
      </w:r>
      <w:r w:rsidR="00D9468E">
        <w:rPr>
          <w:rStyle w:val="ae"/>
          <w:rFonts w:ascii="Times New Roman" w:hAnsi="Times New Roman"/>
          <w:sz w:val="28"/>
          <w:szCs w:val="28"/>
          <w:lang w:val="uk-UA"/>
        </w:rPr>
        <w:t>»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на 2024-2028 роки</w:t>
      </w: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center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1.</w:t>
      </w:r>
      <w:r w:rsidRPr="009535FC">
        <w:rPr>
          <w:rStyle w:val="ae"/>
          <w:rFonts w:ascii="Times New Roman" w:hAnsi="Times New Roman"/>
          <w:sz w:val="28"/>
          <w:szCs w:val="28"/>
        </w:rPr>
        <w:tab/>
        <w:t>Загальні положення</w:t>
      </w: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Комплексна програма «Турбота» на 2024-2028 роки (далі – Програма) розроблена з метою посилення уваги суспільства до потреб та належного соціального захисту осіб з інвалідністю внаслідок війни, учасників бойових дій, учасників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в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ійни, членів сімей загиблих (померлих) ветеранів війни, Захисників та Захисниць України, реабілітованих осіб, багатодітних сімей, осіб з інвалідністю, дітей з інвалідністю, ветеранів праці, пенсіонерів за віком одиноких непрацездатних громадян та інших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іально вразливих верств населення. 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Зазначені категорії громадян охоплені заходами соціального захисту на державному рівні відповідно до законів України «Про статус ветеранів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в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ійни, гарантії їх соціального захисту», «Про основи соціальної захищеності осіб з інвалідністю в Україні», «Про основні засади соціального захисту ветеранів праці та інших громадян похилого віку в Україні», «Про статус і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іальний захист громадян, які постраждали внаслідок Чорнобильської катастрофи», «Про соціальні послуги», «Про державну соціальну допомогу особам, які не мають права на пенсію, та особам з інвалідністю», «Про забезпечення організаційно-правових умов соціального захисту дітей-сиріт та дітей, позбавлених батьківського піклування», «Про державну допомогу сім’ям з дітьми», «Про державну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іальну допомогу особам з інвалідністю з дитинства та дітям з інвалідністю», «Про державну соціальну допомогу малозабезпеченим сім’ям», «Про внесення змін до деяких законодавчих актів України з питань соціального захисту багатодітних сімей», «Про реабілітацію жертв репресій комуністичного тоталі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тарного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 режиму 1917-1991 років» та інших.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Поряд із цим виникають додаткові потреби вжиття заходів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іальної підтримки та надання допомог для цілого ряду груп населення, характерною ознакою яких є малозабезпеченість, безробіття, немічність, інші життєві негаразди.</w:t>
      </w:r>
    </w:p>
    <w:p w:rsidR="009535FC" w:rsidRPr="00855BA7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Для вирішення цих проблем потрібна комплексна система заходів, орієнтована на конкретні цільові групи населення, і цим зумовлена необхідність прийняття Програми.</w:t>
      </w:r>
    </w:p>
    <w:p w:rsidR="009535FC" w:rsidRPr="009535FC" w:rsidRDefault="00181241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2.</w:t>
      </w:r>
      <w:r>
        <w:rPr>
          <w:rStyle w:val="ae"/>
          <w:rFonts w:ascii="Times New Roman" w:hAnsi="Times New Roman"/>
          <w:sz w:val="28"/>
          <w:szCs w:val="28"/>
          <w:lang w:val="en-US"/>
        </w:rPr>
        <w:t xml:space="preserve"> </w:t>
      </w:r>
      <w:r w:rsidR="009535FC" w:rsidRPr="009535FC">
        <w:rPr>
          <w:rStyle w:val="ae"/>
          <w:rFonts w:ascii="Times New Roman" w:hAnsi="Times New Roman"/>
          <w:sz w:val="28"/>
          <w:szCs w:val="28"/>
        </w:rPr>
        <w:t>Мета Програми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Метою Програми є поліпшення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іальної захищеності соціально вразливих верств населення Черкаської області шляхом включення додаткових 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заходів щодо їх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іальної підтримки, вирішення матеріальних і соціально-побутових проблем, надання адресної підтримки.</w:t>
      </w:r>
    </w:p>
    <w:p w:rsidR="00855BA7" w:rsidRDefault="00855BA7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right"/>
        <w:rPr>
          <w:rStyle w:val="ae"/>
          <w:rFonts w:ascii="Times New Roman" w:hAnsi="Times New Roman"/>
          <w:sz w:val="24"/>
          <w:szCs w:val="24"/>
          <w:lang w:val="uk-UA"/>
        </w:rPr>
      </w:pPr>
    </w:p>
    <w:p w:rsidR="009535FC" w:rsidRPr="00855BA7" w:rsidRDefault="00181241" w:rsidP="00181241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rPr>
          <w:rStyle w:val="ae"/>
          <w:rFonts w:ascii="Times New Roman" w:hAnsi="Times New Roman"/>
          <w:sz w:val="24"/>
          <w:szCs w:val="24"/>
          <w:lang w:val="uk-UA"/>
        </w:rPr>
      </w:pPr>
      <w:r w:rsidRPr="00181241">
        <w:rPr>
          <w:rStyle w:val="ae"/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9535FC" w:rsidRPr="00855BA7">
        <w:rPr>
          <w:rStyle w:val="ae"/>
          <w:rFonts w:ascii="Times New Roman" w:hAnsi="Times New Roman"/>
          <w:sz w:val="24"/>
          <w:szCs w:val="24"/>
        </w:rPr>
        <w:t>Продовження додатка</w:t>
      </w:r>
    </w:p>
    <w:p w:rsidR="009535FC" w:rsidRPr="009535FC" w:rsidRDefault="00181241" w:rsidP="00181241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rPr>
          <w:rStyle w:val="ae"/>
          <w:rFonts w:ascii="Times New Roman" w:hAnsi="Times New Roman"/>
          <w:sz w:val="28"/>
          <w:szCs w:val="28"/>
        </w:rPr>
      </w:pPr>
      <w:r w:rsidRPr="00181241">
        <w:rPr>
          <w:rStyle w:val="ae"/>
          <w:rFonts w:ascii="Times New Roman" w:hAnsi="Times New Roman"/>
          <w:sz w:val="28"/>
          <w:szCs w:val="28"/>
        </w:rPr>
        <w:t xml:space="preserve">                                          </w:t>
      </w:r>
      <w:r w:rsidR="009535FC" w:rsidRPr="009535FC">
        <w:rPr>
          <w:rStyle w:val="ae"/>
          <w:rFonts w:ascii="Times New Roman" w:hAnsi="Times New Roman"/>
          <w:sz w:val="28"/>
          <w:szCs w:val="28"/>
        </w:rPr>
        <w:t>3. Завдання та заходи Програми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Основним 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завданням Програми є підвищення рівня життя ветеранів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в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ійни та праці, учасників бойових дій, членів сімей загиблих (померлих) ветеранів війни, Захисників та Захисниць України, осіб з інвалідністю, одиноких непрацездатних громадян та інших соціально вразливих верств населення, шляхом посилення соціальних гарантій.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Заходи з виконання Програми наведен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 в додатку до Програми.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4. Фінансове забезпечення Програми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Фінансування Програми здійснюється за рахунок місцевого бюджету, а також інших джерел, не заборонених законодавством.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Обсяг фінансування Програми визначатиметься щорічно, виходячи з фінансової спроможності місцевого бюджету на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п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ідставі обґрунтованих розрахунків, поданих виконавцями Програми.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5. Очікувані результати Програми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Виконання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Програми 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забезпечить посилення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іального захисту соціально вразливих верств населення, що сприятиме покращенню умов їх проживання, соціальної, медичної 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>та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професійної реабілітації, інтеграції в життя суспільства.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6. Механізм реалізації Програми та контроль за її виконанням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Координація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заходів, передбачених Програмою, покладається на управління праці та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іального захисту населення виконавчого комітету Смілянської міської ради.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Контроль за реалізацією заходів, передбачених 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Програмою, покладається на першого заступника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м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іського голови.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Виконавці заходів, зазначених у Програмі, про хід виконання інформують управління праці та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іального захисту населення виконавчого комітету Смілянської міської ради до 1 грудня року, наступного за звітним.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>Узагальнену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інформацію про хід та результати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виконання заходів Програми управління праці та </w:t>
      </w: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соц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>іального захисту населення виконавчого комітету Смілянської міської ради подає Смілянській міській раді до 20 грудня року, наступного за звітним.</w:t>
      </w:r>
    </w:p>
    <w:p w:rsidR="009535FC" w:rsidRPr="009535FC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</w:rPr>
      </w:pPr>
      <w:proofErr w:type="gramStart"/>
      <w:r w:rsidRPr="009535FC">
        <w:rPr>
          <w:rStyle w:val="ae"/>
          <w:rFonts w:ascii="Times New Roman" w:hAnsi="Times New Roman"/>
          <w:sz w:val="28"/>
          <w:szCs w:val="28"/>
        </w:rPr>
        <w:t>У</w:t>
      </w:r>
      <w:proofErr w:type="gramEnd"/>
      <w:r w:rsidRPr="009535FC">
        <w:rPr>
          <w:rStyle w:val="ae"/>
          <w:rFonts w:ascii="Times New Roman" w:hAnsi="Times New Roman"/>
          <w:sz w:val="28"/>
          <w:szCs w:val="28"/>
        </w:rPr>
        <w:t xml:space="preserve"> разі потреби, протягом періоду дії Програми, вносяться необхідні зміни до відповідних заходів. Внесення</w:t>
      </w:r>
      <w:r w:rsidR="00181241" w:rsidRPr="00181241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9535FC">
        <w:rPr>
          <w:rStyle w:val="ae"/>
          <w:rFonts w:ascii="Times New Roman" w:hAnsi="Times New Roman"/>
          <w:sz w:val="28"/>
          <w:szCs w:val="28"/>
        </w:rPr>
        <w:t xml:space="preserve"> змін здійснюється за пропозиціями виконавчих органів міської ради, погодженими з іншими її виконавцями.</w:t>
      </w:r>
    </w:p>
    <w:p w:rsidR="009535FC" w:rsidRPr="00784E45" w:rsidRDefault="009535FC" w:rsidP="007543E8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 w:firstLine="567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9535FC" w:rsidRP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8"/>
          <w:szCs w:val="28"/>
        </w:rPr>
      </w:pPr>
      <w:r w:rsidRPr="009535FC">
        <w:rPr>
          <w:rStyle w:val="ae"/>
          <w:rFonts w:ascii="Times New Roman" w:hAnsi="Times New Roman"/>
          <w:sz w:val="28"/>
          <w:szCs w:val="28"/>
        </w:rPr>
        <w:t xml:space="preserve">Секретар міської ради </w:t>
      </w:r>
      <w:r w:rsidR="007543E8">
        <w:rPr>
          <w:rStyle w:val="ae"/>
          <w:rFonts w:ascii="Times New Roman" w:hAnsi="Times New Roman"/>
          <w:sz w:val="28"/>
          <w:szCs w:val="28"/>
        </w:rPr>
        <w:tab/>
      </w:r>
      <w:r w:rsidR="007543E8">
        <w:rPr>
          <w:rStyle w:val="ae"/>
          <w:rFonts w:ascii="Times New Roman" w:hAnsi="Times New Roman"/>
          <w:sz w:val="28"/>
          <w:szCs w:val="28"/>
        </w:rPr>
        <w:tab/>
      </w:r>
      <w:r w:rsidR="007543E8">
        <w:rPr>
          <w:rStyle w:val="ae"/>
          <w:rFonts w:ascii="Times New Roman" w:hAnsi="Times New Roman"/>
          <w:sz w:val="28"/>
          <w:szCs w:val="28"/>
        </w:rPr>
        <w:tab/>
      </w:r>
      <w:r w:rsidR="007543E8">
        <w:rPr>
          <w:rStyle w:val="ae"/>
          <w:rFonts w:ascii="Times New Roman" w:hAnsi="Times New Roman"/>
          <w:sz w:val="28"/>
          <w:szCs w:val="28"/>
        </w:rPr>
        <w:tab/>
      </w:r>
      <w:r w:rsidR="007543E8">
        <w:rPr>
          <w:rStyle w:val="ae"/>
          <w:rFonts w:ascii="Times New Roman" w:hAnsi="Times New Roman"/>
          <w:sz w:val="28"/>
          <w:szCs w:val="28"/>
          <w:lang w:val="uk-UA"/>
        </w:rPr>
        <w:t>Юрій СТУДАНС</w:t>
      </w:r>
    </w:p>
    <w:p w:rsidR="00181241" w:rsidRDefault="00181241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4"/>
          <w:szCs w:val="24"/>
          <w:lang w:val="en-US"/>
        </w:rPr>
      </w:pPr>
    </w:p>
    <w:p w:rsidR="009535FC" w:rsidRDefault="009535FC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4"/>
          <w:szCs w:val="24"/>
        </w:rPr>
      </w:pPr>
      <w:r w:rsidRPr="00855BA7">
        <w:rPr>
          <w:rStyle w:val="ae"/>
          <w:rFonts w:ascii="Times New Roman" w:hAnsi="Times New Roman"/>
          <w:sz w:val="24"/>
          <w:szCs w:val="24"/>
        </w:rPr>
        <w:t>Микола ПРОКОФ’ЄВ</w:t>
      </w:r>
    </w:p>
    <w:p w:rsidR="007543E8" w:rsidRDefault="007543E8" w:rsidP="007543E8">
      <w:pPr>
        <w:spacing w:after="0" w:line="240" w:lineRule="auto"/>
        <w:ind w:left="12758"/>
        <w:rPr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br w:type="page"/>
      </w:r>
      <w:r w:rsidRPr="007C6FE9">
        <w:rPr>
          <w:rFonts w:ascii="Times New Roman" w:hAnsi="Times New Roman"/>
          <w:sz w:val="24"/>
          <w:szCs w:val="24"/>
        </w:rPr>
        <w:lastRenderedPageBreak/>
        <w:t xml:space="preserve">одаток </w:t>
      </w:r>
      <w:r>
        <w:rPr>
          <w:rFonts w:ascii="Times New Roman" w:hAnsi="Times New Roman"/>
          <w:sz w:val="24"/>
          <w:szCs w:val="24"/>
        </w:rPr>
        <w:t>до</w:t>
      </w:r>
      <w:r w:rsidRPr="007C6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Програми</w:t>
      </w:r>
    </w:p>
    <w:p w:rsidR="007543E8" w:rsidRDefault="007543E8" w:rsidP="00754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543E8" w:rsidSect="00855BA7">
          <w:pgSz w:w="11906" w:h="16838" w:code="9"/>
          <w:pgMar w:top="1134" w:right="566" w:bottom="851" w:left="1701" w:header="709" w:footer="709" w:gutter="0"/>
          <w:cols w:space="708"/>
          <w:docGrid w:linePitch="360"/>
        </w:sectPr>
      </w:pPr>
    </w:p>
    <w:p w:rsidR="007543E8" w:rsidRPr="00A261AE" w:rsidRDefault="00A261AE" w:rsidP="00A261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Програми </w:t>
      </w:r>
    </w:p>
    <w:p w:rsidR="007543E8" w:rsidRDefault="007543E8" w:rsidP="0075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E8" w:rsidRDefault="007543E8" w:rsidP="0075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3E8" w:rsidRDefault="007543E8" w:rsidP="00754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FE9">
        <w:rPr>
          <w:rFonts w:ascii="Times New Roman" w:hAnsi="Times New Roman"/>
          <w:sz w:val="28"/>
          <w:szCs w:val="28"/>
        </w:rPr>
        <w:t xml:space="preserve">Завдання та </w:t>
      </w:r>
      <w:r>
        <w:rPr>
          <w:rFonts w:ascii="Times New Roman" w:hAnsi="Times New Roman"/>
          <w:sz w:val="28"/>
          <w:szCs w:val="28"/>
        </w:rPr>
        <w:t>заходи Програми</w:t>
      </w:r>
    </w:p>
    <w:p w:rsidR="007543E8" w:rsidRDefault="007543E8" w:rsidP="00754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830"/>
        <w:gridCol w:w="993"/>
        <w:gridCol w:w="1559"/>
        <w:gridCol w:w="1843"/>
        <w:gridCol w:w="1843"/>
        <w:gridCol w:w="4394"/>
      </w:tblGrid>
      <w:tr w:rsidR="00C8690C" w:rsidTr="00C8690C">
        <w:trPr>
          <w:trHeight w:val="1478"/>
        </w:trPr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№ з/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</w:rPr>
              <w:t>п</w:t>
            </w:r>
            <w:proofErr w:type="gramEnd"/>
          </w:p>
        </w:tc>
        <w:tc>
          <w:tcPr>
            <w:tcW w:w="3830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Перелі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</w:rPr>
              <w:t>к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</w:rPr>
              <w:t xml:space="preserve"> заходів програми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Термін виконання заході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Виконавці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Джерела фінансування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 xml:space="preserve">Орієнтований обсяг фінансування (вартість) на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</w:rPr>
              <w:t>р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</w:rPr>
              <w:t>ік, грн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Очікуваний результат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C8690C">
              <w:rPr>
                <w:rFonts w:ascii="Times New Roman" w:eastAsia="Calibri" w:hAnsi="Times New Roman"/>
                <w:kern w:val="2"/>
              </w:rPr>
              <w:t>7</w:t>
            </w:r>
          </w:p>
        </w:tc>
      </w:tr>
      <w:tr w:rsidR="00C8690C" w:rsidTr="00C8690C">
        <w:tc>
          <w:tcPr>
            <w:tcW w:w="15163" w:type="dxa"/>
            <w:gridSpan w:val="7"/>
            <w:shd w:val="clear" w:color="auto" w:fill="auto"/>
          </w:tcPr>
          <w:p w:rsidR="007543E8" w:rsidRPr="00C8690C" w:rsidRDefault="007543E8" w:rsidP="00C8690C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sz w:val="24"/>
                <w:szCs w:val="24"/>
              </w:rPr>
              <w:t>Заходи управління праці та соціального захисту населення виконавчого комітету Смілянської міської ради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FF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ільг на оплату житлово-комунальних послуг, придбання твердого палива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соціальної та матеріальної підтримки осіб з інвалідністю, ветеранів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ійни, учасників бойових дій, членів сімей загиблих (померлих) ветеранів війни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ільг окремим категоріям громадян з оплати послуг зв'язку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соціальної та матеріальної підтримки осіб з інвалідністю, ветеранів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ійни, учасників бойових дій, членів сімей загиблих (померлих) ветеранів війни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Компенсаційні виплати на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ільговий проїзд автомобільним транспортом окремим категоріям громадян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безперешкодного права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ільгового проїзду окремих категорій громадян автомобільним транспортом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Компенсаційні виплати за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ільговий проїзд окремих категорій громадян на залізничному транспорті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ind w:right="36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безперешкодного права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ільгового проїзду окремих категорій громадян залізничним транспортом у приміському сполученні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послуги та підтримка соціальних незахищених верств населення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1.6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Відшкодування коштів за зубопротезування окремим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ільговим категоріям населення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Створення умов для реалізації права на доступність до стоматологічної допомоги, збільшення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р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івна задоволеності населення міста стоматологічними послугами, дотримання вимог законодавства щодо забезпечення безоплатним зубопротезуванням окремих пільгових категорій населення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1.7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одноразової допомоги членам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сімей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загиблих (померлих) Захисників і Захисниць України на встановлення надмогильного пам’ятника 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Дасть можливість надати одноразову допомогу одному з членів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сімей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та близьким особам загиблих (померлих) Захисників чи Захисниць України на встановлення надмогильного 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пам’ятника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фінансової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ідтримки громадським об`єднанням ветеранів і осіб з інвалідністю, діяльність яких має соціальну спрямованість:</w:t>
            </w:r>
          </w:p>
          <w:p w:rsidR="007543E8" w:rsidRPr="00C8690C" w:rsidRDefault="007543E8" w:rsidP="00C8690C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color w:val="000000"/>
                <w:sz w:val="24"/>
                <w:szCs w:val="24"/>
              </w:rPr>
              <w:t>Смілянська міська організація ветеранів України;</w:t>
            </w:r>
          </w:p>
          <w:p w:rsidR="007543E8" w:rsidRPr="00C8690C" w:rsidRDefault="007543E8" w:rsidP="00C8690C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color w:val="000000"/>
                <w:sz w:val="24"/>
                <w:szCs w:val="24"/>
              </w:rPr>
              <w:t>Смілянська спілка учасників бойових дій АТО;</w:t>
            </w:r>
          </w:p>
          <w:p w:rsidR="007543E8" w:rsidRPr="00C8690C" w:rsidRDefault="007543E8" w:rsidP="00C8690C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color w:val="000000"/>
                <w:sz w:val="24"/>
                <w:szCs w:val="24"/>
              </w:rPr>
              <w:t>УТОС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Створить умови для ведення статутної діяльності та наданні додаткових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іальних послуг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1.9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Надання одноразової матеріальної допомоги громадянам міста, які опинилися у складних життєвих обставинах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Дасть можливість покращити матеріальний стан жителів міста та осіб, що тимчасово проживають у мі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ст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опинилися у складних життєвих обставинах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1.10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матер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іальної допомоги на  поховання деяких категорій осіб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Дасть можливість частково відшкодувати витрати на поховання деяких категорій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осіб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виконавцю волевиявлення померлого або особі, яка зобов’язалася поховати померлого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Забезпечення санаторно-курортним лікуванням осіб з інвалідністю, постраждалих громадян 1 категорії внаслідок аварії на ЧАЕС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  <w:u w:val="single"/>
              </w:rPr>
              <w:t>,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ветеранів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ійни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Покращить стан здоров’я осіб з інвалідністю, постраждалих громадян 1 категорії внаслідок аварії на ЧАЕС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  <w:u w:val="single"/>
              </w:rPr>
              <w:t>,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ветеранів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ійни 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ідтримка внутрішньо переміщених та/або евакуйованих осіб у зв’язку із введенням воєнного стану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Поліпшення матеріального та психологічного стану внутрішньо переміщених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осіб</w:t>
            </w:r>
            <w:proofErr w:type="gramEnd"/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1.13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Надання одноразової матеріальної допомоги громадянам міста на відновлення пошкодженого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Поліпшення та відновлення житлових умов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1.14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Надання інших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ільг окремим категоріям громадян відповідно до законодавства (фінансування разового проїзду залізничним, повітряним, водним транспортом потерпілим від аварії на ЧАЕС 1 та 2 категорій, внутрішньо-державне пільгове перевезення залізничним транспортом)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послуги незахищених верств населення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1.15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Організація оплачуваних громадських робі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тимчасового працевлаштування осіб, що перебувають на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обл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іку в центрі зайнятості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Надання одноразової грошової допомоги військовослужбовцям, призваним на військову службу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ід час мобілізації до лав Збройних сил України та інших військових формувань, а також військовослужбовцям, що проходять військову службу для захисту України від збройної агресії російської федерації 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Управління праці та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та матеріальної підтримки сімей Захисників та Захисниць України</w:t>
            </w:r>
          </w:p>
        </w:tc>
      </w:tr>
      <w:tr w:rsidR="00C8690C" w:rsidTr="00C8690C">
        <w:tc>
          <w:tcPr>
            <w:tcW w:w="15163" w:type="dxa"/>
            <w:gridSpan w:val="7"/>
            <w:shd w:val="clear" w:color="auto" w:fill="auto"/>
          </w:tcPr>
          <w:p w:rsidR="007543E8" w:rsidRPr="00C8690C" w:rsidRDefault="007543E8" w:rsidP="00C8690C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sz w:val="24"/>
                <w:szCs w:val="24"/>
              </w:rPr>
              <w:t>Заходи служби у справах дітей виконавчого комітету Смілянської міської ради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Нарахування поворотної фінансової допомоги, що виплачується патронатним вихователям для своєчасного забезпечення догляду, виховання та реабілітації дітей, влаштованих до сімей патронатних вихователів, до моменту отримання ними державної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допомоги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Служба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справах дітей 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Забезпечений своєчасний догляд, виховання та реабілітація дітей, влаштованих до сімей патронатних вихователів, до</w:t>
            </w:r>
            <w:r w:rsidRPr="00C8690C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моменту отримання ними державної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допомоги</w:t>
            </w:r>
          </w:p>
        </w:tc>
      </w:tr>
      <w:tr w:rsidR="00C8690C" w:rsidTr="00C8690C">
        <w:tc>
          <w:tcPr>
            <w:tcW w:w="15163" w:type="dxa"/>
            <w:gridSpan w:val="7"/>
            <w:shd w:val="clear" w:color="auto" w:fill="auto"/>
          </w:tcPr>
          <w:p w:rsidR="007543E8" w:rsidRPr="00C8690C" w:rsidRDefault="007543E8" w:rsidP="00C8690C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sz w:val="24"/>
                <w:szCs w:val="24"/>
              </w:rPr>
              <w:t>Заходи відділу молоді та спорту управління освіти, молоді та спорту виконавчого комітету Смілянської міської ради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Організація та проведення щорічних заході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та культурологічних акцій, що пропагують родинні цінності, кращий досвід сімейного виховання та з інших питань сім’ї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ідвищення рівня престижу сім’ї, популяризація сімейних цінностей, забезпечення права багатодітних сімей та дітей з багатодітних сімей на користування пільгами відповідно до законодавства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Проведення заходів, спрямованих на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ідготовку сімей до відповідального батьківства «Школа відповідального батьківства»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ідготовка молоді до подружнього життя, народження і виховання бажаних дітей в сім’ях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3.3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Організація та проведення міського етапу обласної акції «До школи з радістю!»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іальна підтримка дітей з багатодітних малозабезпечених сімей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3.4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Організація та проведення молодіжної акції для дітей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 незахищених категорій «Іде святий Миколай благословляти рідний край»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іальна підтримка дітей соціально незахищених категорій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3.5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Організація та проведення новорічно-різдвяного свята для дітей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 незахищених категорій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іальна підтримка дітей соціально незахищених категорій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3.6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Організація та проведення заходів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рамках всеукраїнської акції «16 днів проти насильства» 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Запобігання та протидія домашньому насильству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3.7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Організація та проведення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проф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ілактичних і просвітницьких заходів щодо запобігання та протидії домашньому насильству, виховання та утвердження гендерної культури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Створення дієвих механізмів допомоги та захисту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осіб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, які постраждали від домашнього насильства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Організація роботи пришкільних таборів з денним перебуванням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права дітей на відпочинок і оздоровлення, в першу чергу тих, хто потребує особливої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уваги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3.9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ільгового довготермінового кредиту на будівництво (реконструкцію) і придбання житла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Забезпечення права молодих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сімей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на житло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3.10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Надання спортивних споруд незалежно від форм власності, для організації фізкультурно-оздоровчих і реабілітаційних занять людям з особливими потребами, зокрема, дітям і молоді; безперешкодний доступ до усіх спортивних споруд міста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Інтеграція людей (дітей) з особливими потребами у спортивний прості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р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міста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3.11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ідготовка та участь смілянських спортсменів у спортивних заходах різного рівня з видів спорту для людей з особливими потребами.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Відділ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молод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 та спорту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іальний захист людей (дітей) з особливими потребами</w:t>
            </w:r>
          </w:p>
        </w:tc>
      </w:tr>
      <w:tr w:rsidR="00C8690C" w:rsidTr="00C8690C">
        <w:tc>
          <w:tcPr>
            <w:tcW w:w="15163" w:type="dxa"/>
            <w:gridSpan w:val="7"/>
            <w:shd w:val="clear" w:color="auto" w:fill="auto"/>
          </w:tcPr>
          <w:p w:rsidR="007543E8" w:rsidRPr="00C8690C" w:rsidRDefault="007543E8" w:rsidP="00C8690C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0C">
              <w:rPr>
                <w:rFonts w:ascii="Times New Roman" w:hAnsi="Times New Roman"/>
                <w:sz w:val="24"/>
                <w:szCs w:val="24"/>
              </w:rPr>
              <w:t>Заходи Смілянського міського центру соціальних служб виконавчого комітету Смілянської міської ради</w:t>
            </w:r>
          </w:p>
        </w:tc>
      </w:tr>
      <w:tr w:rsidR="00C8690C" w:rsidTr="00C8690C">
        <w:tc>
          <w:tcPr>
            <w:tcW w:w="701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3830" w:type="dxa"/>
            <w:shd w:val="clear" w:color="auto" w:fill="auto"/>
          </w:tcPr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іальний супровід;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Консультування;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Кризове та екстрене втручання;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іальна профілактика;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Посередництво (медіація);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Натуральна допомога;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Послуга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інтеграції та реінтеграції;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Послуга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адаптації;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іальний супровід сімей в яких виховуються діти сироти та діти позбавлені батьківського піклування;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Представництво інтересів</w:t>
            </w:r>
          </w:p>
        </w:tc>
        <w:tc>
          <w:tcPr>
            <w:tcW w:w="99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9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Смілянський міський центр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іальних служб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Бюджет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543E8" w:rsidRPr="00C8690C" w:rsidRDefault="007543E8" w:rsidP="00C8690C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  <w:shd w:val="clear" w:color="auto" w:fill="auto"/>
          </w:tcPr>
          <w:p w:rsidR="007543E8" w:rsidRPr="00C8690C" w:rsidRDefault="007543E8" w:rsidP="00C8690C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Надання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іальних  послуг родинам учасників бойових дій (збільшення на 30%);</w:t>
            </w:r>
          </w:p>
          <w:p w:rsidR="007543E8" w:rsidRPr="00C8690C" w:rsidRDefault="007543E8" w:rsidP="00C8690C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u w:val="single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проведення групових занять для дружин воїнів (діє клуб дружин «Я поруч» на постійній основі);</w:t>
            </w:r>
            <w:proofErr w:type="gramEnd"/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охоплення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іальними послугами </w:t>
            </w: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членів родин, в яких скоєно насилля (100% сімей, в яких скоєно насильство);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іальна підтримка осіб з числа внутрішньо переміщених осіб, залучення дітей та їх батьків до арт-терапевтичних занять;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сприяння у наданні дітям із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сімей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внутрішньо переміщених осіб статусу дитини, яка постраждала внаслідок воєнних дій та збройної агресії рф; 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збільшення кількості перевірок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іальної допомоги родинам при народженні дитини та виплат одиноким матерям на 25%;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проведення тренінгових занять "Батьківство в радість»;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охоплення понад 100 дітей дошкільного віку інтерактивними іграми «Навчи дитину захищатися», направлених на формування у дітей безпечної поведінки;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започаткування діяльності нової та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ідтримка діючих патронатних родин;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іальна підтримка прийомних сімей та дитячих будинків сімейного типу (охоплено 100% сімей);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охоплення </w:t>
            </w:r>
            <w:proofErr w:type="gramStart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іальним супроводом </w:t>
            </w:r>
            <w:r w:rsidRPr="00C8690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lastRenderedPageBreak/>
              <w:t xml:space="preserve">новостворених опікунських сімей чи таких, які потребують підтримки за повідомленням служби у справах дітей; 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збільшення кількості сімей, взятих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 соціальний супровід, що виховують неповнолітніх, які засуджені до покарань у вигляді позбавлення волі з випробуванням іспитовим  строком, а також тих, хто звільнився з установ виконання покарань  (на 25%);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продовження реалізації проєкту для сімей, які виховують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ідлітків «Програма 15» (охоплення 60 сімей);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продовження діяльності клубу для батьків, які виховують дитину з інвалідністю «Коло жіночої сили» (розширити кількість учасникі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на 50%);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розширення кола члені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клубу спілкування молоді з інвалідністю «Нові друзі» на 30%;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розширення кількості учасників школи волонтері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та форми роботи волонтерів на 50 %;</w:t>
            </w:r>
          </w:p>
          <w:p w:rsidR="007543E8" w:rsidRPr="00C8690C" w:rsidRDefault="007543E8" w:rsidP="00C8690C">
            <w:pPr>
              <w:spacing w:line="252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запровадження навчальної програми «Крок до порозуміння» для дітей, які виховуються в ПС та ДБСТ та батьків-вихователі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;</w:t>
            </w:r>
          </w:p>
          <w:p w:rsidR="007543E8" w:rsidRPr="00C8690C" w:rsidRDefault="007543E8" w:rsidP="00C8690C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 xml:space="preserve">започаткування діяльності мобільної бригади </w:t>
            </w:r>
            <w:proofErr w:type="gramStart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соц</w:t>
            </w:r>
            <w:proofErr w:type="gramEnd"/>
            <w:r w:rsidRPr="00C8690C">
              <w:rPr>
                <w:rFonts w:ascii="Times New Roman" w:eastAsia="Calibri" w:hAnsi="Times New Roman"/>
                <w:kern w:val="2"/>
                <w:sz w:val="24"/>
                <w:szCs w:val="24"/>
              </w:rPr>
              <w:t>іально-психологічної допомоги особам, які постраждали від домашнього насильства та/або насильства за ознакою статі.</w:t>
            </w:r>
          </w:p>
        </w:tc>
      </w:tr>
    </w:tbl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СТУДАНС</w:t>
      </w: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3E8" w:rsidRPr="00FA0098" w:rsidRDefault="007543E8" w:rsidP="007543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 ПРОКОФ</w:t>
      </w:r>
      <w:r w:rsidRPr="007543E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ЄВ</w:t>
      </w:r>
    </w:p>
    <w:p w:rsidR="007543E8" w:rsidRPr="007543E8" w:rsidRDefault="007543E8" w:rsidP="009535FC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right="-144"/>
        <w:jc w:val="both"/>
        <w:rPr>
          <w:rStyle w:val="ae"/>
          <w:rFonts w:ascii="Times New Roman" w:hAnsi="Times New Roman"/>
          <w:sz w:val="24"/>
          <w:szCs w:val="24"/>
        </w:rPr>
      </w:pPr>
    </w:p>
    <w:sectPr w:rsidR="007543E8" w:rsidRPr="007543E8" w:rsidSect="007543E8">
      <w:pgSz w:w="16838" w:h="11906" w:orient="landscape" w:code="9"/>
      <w:pgMar w:top="566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6D444D"/>
    <w:multiLevelType w:val="hybridMultilevel"/>
    <w:tmpl w:val="B06CC366"/>
    <w:lvl w:ilvl="0" w:tplc="DD0C98AA">
      <w:start w:val="1"/>
      <w:numFmt w:val="decimal"/>
      <w:lvlText w:val="%1."/>
      <w:lvlJc w:val="left"/>
      <w:pPr>
        <w:ind w:left="1005" w:hanging="4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7280A91"/>
    <w:multiLevelType w:val="hybridMultilevel"/>
    <w:tmpl w:val="732E1C7A"/>
    <w:lvl w:ilvl="0" w:tplc="6F1A92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4AD3"/>
    <w:multiLevelType w:val="hybridMultilevel"/>
    <w:tmpl w:val="D842FF46"/>
    <w:lvl w:ilvl="0" w:tplc="6ACA394E">
      <w:start w:val="1"/>
      <w:numFmt w:val="decimal"/>
      <w:lvlText w:val="%1."/>
      <w:lvlJc w:val="left"/>
      <w:pPr>
        <w:ind w:left="10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F7923AB"/>
    <w:multiLevelType w:val="hybridMultilevel"/>
    <w:tmpl w:val="06507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1D16"/>
    <w:rsid w:val="0004274B"/>
    <w:rsid w:val="00044D87"/>
    <w:rsid w:val="000521F5"/>
    <w:rsid w:val="0005396F"/>
    <w:rsid w:val="000539F8"/>
    <w:rsid w:val="0005534B"/>
    <w:rsid w:val="00055B9D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69A"/>
    <w:rsid w:val="00161028"/>
    <w:rsid w:val="00161AC6"/>
    <w:rsid w:val="00162EF2"/>
    <w:rsid w:val="0016541C"/>
    <w:rsid w:val="0016754F"/>
    <w:rsid w:val="001721EF"/>
    <w:rsid w:val="00174F2A"/>
    <w:rsid w:val="001769A8"/>
    <w:rsid w:val="00181241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0C04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25AE0"/>
    <w:rsid w:val="003351D8"/>
    <w:rsid w:val="00335F2A"/>
    <w:rsid w:val="00337243"/>
    <w:rsid w:val="003446DE"/>
    <w:rsid w:val="00344A5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1C7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1B12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4936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48E"/>
    <w:rsid w:val="00715810"/>
    <w:rsid w:val="00716F87"/>
    <w:rsid w:val="0071709A"/>
    <w:rsid w:val="00724C28"/>
    <w:rsid w:val="007318BF"/>
    <w:rsid w:val="00733D4D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05D5"/>
    <w:rsid w:val="0075382E"/>
    <w:rsid w:val="00753CFF"/>
    <w:rsid w:val="007543E8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4E45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212E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55BA7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2F29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35FC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4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059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261AE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31DD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6A1"/>
    <w:rsid w:val="00AE3EC5"/>
    <w:rsid w:val="00AE5D05"/>
    <w:rsid w:val="00AE788A"/>
    <w:rsid w:val="00AF105E"/>
    <w:rsid w:val="00AF4722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9646E"/>
    <w:rsid w:val="00BA05A0"/>
    <w:rsid w:val="00BA0ED0"/>
    <w:rsid w:val="00BA179C"/>
    <w:rsid w:val="00BA3FE8"/>
    <w:rsid w:val="00BB0AEE"/>
    <w:rsid w:val="00BB3554"/>
    <w:rsid w:val="00BB767F"/>
    <w:rsid w:val="00BB7781"/>
    <w:rsid w:val="00BC1581"/>
    <w:rsid w:val="00BC60D6"/>
    <w:rsid w:val="00BD138B"/>
    <w:rsid w:val="00BD307B"/>
    <w:rsid w:val="00BD44E4"/>
    <w:rsid w:val="00BD60FD"/>
    <w:rsid w:val="00BD7293"/>
    <w:rsid w:val="00BE2211"/>
    <w:rsid w:val="00BE3666"/>
    <w:rsid w:val="00BE6FD4"/>
    <w:rsid w:val="00BE7BE1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4134"/>
    <w:rsid w:val="00C75E00"/>
    <w:rsid w:val="00C761E0"/>
    <w:rsid w:val="00C76520"/>
    <w:rsid w:val="00C76642"/>
    <w:rsid w:val="00C80679"/>
    <w:rsid w:val="00C8690C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CF5CF0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778D2"/>
    <w:rsid w:val="00D80CE8"/>
    <w:rsid w:val="00D8553A"/>
    <w:rsid w:val="00D9026A"/>
    <w:rsid w:val="00D91AD4"/>
    <w:rsid w:val="00D9433F"/>
    <w:rsid w:val="00D9468E"/>
    <w:rsid w:val="00D946D7"/>
    <w:rsid w:val="00D94F05"/>
    <w:rsid w:val="00DA1F77"/>
    <w:rsid w:val="00DA2D74"/>
    <w:rsid w:val="00DA30C8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179F"/>
    <w:rsid w:val="00E443E5"/>
    <w:rsid w:val="00E445A7"/>
    <w:rsid w:val="00E47450"/>
    <w:rsid w:val="00E476B1"/>
    <w:rsid w:val="00E50280"/>
    <w:rsid w:val="00E51CDF"/>
    <w:rsid w:val="00E5337E"/>
    <w:rsid w:val="00E56BEC"/>
    <w:rsid w:val="00E57FC8"/>
    <w:rsid w:val="00E63855"/>
    <w:rsid w:val="00E6457F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63B1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890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53B8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uiPriority w:val="99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2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e">
    <w:name w:val="Основной текст Знак"/>
    <w:link w:val="ad"/>
    <w:locked/>
    <w:rsid w:val="003A4D34"/>
    <w:rPr>
      <w:rFonts w:cs="Times New Roman"/>
      <w:lang w:val="ru-RU" w:eastAsia="ru-RU"/>
    </w:rPr>
  </w:style>
  <w:style w:type="paragraph" w:styleId="af">
    <w:name w:val="Subtitle"/>
    <w:basedOn w:val="a"/>
    <w:next w:val="ad"/>
    <w:link w:val="af0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1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2Exact">
    <w:name w:val="Основной текст (2) Exact"/>
    <w:link w:val="2"/>
    <w:locked/>
    <w:rsid w:val="00174F2A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174F2A"/>
    <w:pPr>
      <w:widowControl w:val="0"/>
      <w:shd w:val="clear" w:color="auto" w:fill="FFFFFF"/>
      <w:spacing w:after="0" w:line="306" w:lineRule="exact"/>
    </w:pPr>
    <w:rPr>
      <w:sz w:val="26"/>
      <w:szCs w:val="20"/>
      <w:lang/>
    </w:rPr>
  </w:style>
  <w:style w:type="paragraph" w:customStyle="1" w:styleId="rvps6">
    <w:name w:val="rvps6"/>
    <w:basedOn w:val="a"/>
    <w:rsid w:val="00174F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174F2A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hAnsi="Times New Roman"/>
      <w:b/>
      <w:sz w:val="64"/>
      <w:lang w:val="uk-UA"/>
    </w:rPr>
  </w:style>
  <w:style w:type="paragraph" w:styleId="af2">
    <w:name w:val="header"/>
    <w:basedOn w:val="a"/>
    <w:link w:val="af3"/>
    <w:rsid w:val="00174F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rsid w:val="00174F2A"/>
    <w:rPr>
      <w:rFonts w:ascii="Times New Roman" w:hAnsi="Times New Roman"/>
      <w:lang w:val="ru-RU" w:eastAsia="ru-RU"/>
    </w:rPr>
  </w:style>
  <w:style w:type="table" w:styleId="af4">
    <w:name w:val="Table Grid"/>
    <w:basedOn w:val="a1"/>
    <w:uiPriority w:val="39"/>
    <w:locked/>
    <w:rsid w:val="007543E8"/>
    <w:rPr>
      <w:rFonts w:eastAsia="Calibri"/>
      <w:kern w:val="2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543E8"/>
    <w:pPr>
      <w:spacing w:after="160" w:line="259" w:lineRule="auto"/>
      <w:ind w:left="720"/>
      <w:contextualSpacing/>
    </w:pPr>
    <w:rPr>
      <w:rFonts w:eastAsia="Calibri"/>
      <w:kern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4FF6-30F4-417F-A067-00C307E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3235</Words>
  <Characters>18443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2023-05-26T07:29:00Z</cp:lastPrinted>
  <dcterms:created xsi:type="dcterms:W3CDTF">2024-01-09T13:14:00Z</dcterms:created>
  <dcterms:modified xsi:type="dcterms:W3CDTF">2024-01-09T13:14:00Z</dcterms:modified>
</cp:coreProperties>
</file>